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5A705" w14:textId="688955FA" w:rsidR="0022290B" w:rsidRPr="00132B46" w:rsidRDefault="0022290B" w:rsidP="000F5B7E">
      <w:pPr>
        <w:spacing w:after="0" w:line="360" w:lineRule="auto"/>
        <w:jc w:val="center"/>
        <w:rPr>
          <w:rFonts w:ascii="Times New Roman" w:eastAsia="Times New Roman" w:hAnsi="Times New Roman" w:cs="Times New Roman"/>
          <w:b/>
          <w:bCs/>
          <w:sz w:val="24"/>
          <w:u w:val="single"/>
        </w:rPr>
      </w:pPr>
      <w:r w:rsidRPr="00132B46">
        <w:rPr>
          <w:rFonts w:ascii="Times New Roman" w:eastAsia="Times New Roman" w:hAnsi="Times New Roman" w:cs="Times New Roman"/>
          <w:b/>
          <w:bCs/>
          <w:sz w:val="24"/>
          <w:u w:val="single"/>
        </w:rPr>
        <w:t>Reforming Money and Banking – How a full-reserve, interest-free system can eliminate government debt, deficits, and inflation</w:t>
      </w:r>
    </w:p>
    <w:p w14:paraId="36F82463" w14:textId="77777777" w:rsidR="001A065A" w:rsidRDefault="001A065A" w:rsidP="00880AA9">
      <w:pPr>
        <w:spacing w:after="0" w:line="360" w:lineRule="auto"/>
        <w:jc w:val="both"/>
        <w:rPr>
          <w:rFonts w:ascii="Times New Roman" w:eastAsia="Times New Roman" w:hAnsi="Times New Roman" w:cs="Times New Roman"/>
          <w:b/>
          <w:bCs/>
          <w:sz w:val="24"/>
        </w:rPr>
      </w:pPr>
    </w:p>
    <w:p w14:paraId="475A6A7B" w14:textId="77777777" w:rsidR="001A065A" w:rsidRDefault="001A065A" w:rsidP="00880AA9">
      <w:pPr>
        <w:spacing w:after="0" w:line="360" w:lineRule="auto"/>
        <w:jc w:val="both"/>
        <w:rPr>
          <w:rFonts w:ascii="Times New Roman" w:eastAsia="Times New Roman" w:hAnsi="Times New Roman" w:cs="Times New Roman"/>
          <w:b/>
          <w:bCs/>
          <w:sz w:val="24"/>
        </w:rPr>
      </w:pPr>
    </w:p>
    <w:p w14:paraId="0B941395" w14:textId="72B3DC21"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Outline</w:t>
      </w:r>
      <w:r w:rsidR="001A065A">
        <w:rPr>
          <w:rFonts w:ascii="Times New Roman" w:eastAsia="Times New Roman" w:hAnsi="Times New Roman" w:cs="Times New Roman"/>
          <w:b/>
          <w:bCs/>
          <w:sz w:val="24"/>
        </w:rPr>
        <w:t>s</w:t>
      </w:r>
    </w:p>
    <w:p w14:paraId="4ABFE623"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I. Introduction: Part of the reason Pakistan faces macroeconomic instability is an underlying money-and-banking architecture problem.</w:t>
      </w:r>
    </w:p>
    <w:p w14:paraId="3EECB098"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II. Pakistan’s debt-deficit-inflation trap.</w:t>
      </w:r>
    </w:p>
    <w:p w14:paraId="193F95EE"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A. Debt dynamics and debt servicing.</w:t>
      </w:r>
    </w:p>
    <w:p w14:paraId="376795B7"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B. The sovereign-bank nexus and fiscal dominance.</w:t>
      </w:r>
    </w:p>
    <w:p w14:paraId="1BE7678C"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C. Inflation persistence and policy credibility.</w:t>
      </w:r>
    </w:p>
    <w:p w14:paraId="177C2613"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III. Why fractional-reserve banking matters.</w:t>
      </w:r>
    </w:p>
    <w:p w14:paraId="10CD73EF"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A. Modern money creation: banks create deposits when they extend loans.</w:t>
      </w:r>
    </w:p>
    <w:p w14:paraId="34E540D0"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B. Runs, liquidity stress, and the logic of public backstops.</w:t>
      </w:r>
    </w:p>
    <w:p w14:paraId="59F42CC0"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C. Why incentives tilt toward government paper.</w:t>
      </w:r>
    </w:p>
    <w:p w14:paraId="07659CA4"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IV. A workable reform model.</w:t>
      </w:r>
    </w:p>
    <w:p w14:paraId="6036FFB7"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A. Full-reserve transaction money via “Payment Banks”.</w:t>
      </w:r>
    </w:p>
    <w:p w14:paraId="38FCFBE7"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B. Separate investment/financing institutions using Islamic, risk-sharing contracts.</w:t>
      </w:r>
    </w:p>
    <w:p w14:paraId="5C58A063"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C. SBP and Treasury roles: well-governed sovereign money issuance.</w:t>
      </w:r>
    </w:p>
    <w:p w14:paraId="4F0DDD24"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V. How reform can lessen debt, deficits, and inflation.</w:t>
      </w:r>
    </w:p>
    <w:p w14:paraId="61E98C7C"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A. Transition dividend: seigniorage and breaking the sovereign-bank loop.</w:t>
      </w:r>
    </w:p>
    <w:p w14:paraId="57BF6C27"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B. Medium-term fiscal dividend: reduced servicing costs and improved expenditure quality.</w:t>
      </w:r>
    </w:p>
    <w:p w14:paraId="65A4FEB7"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   C. Inflation control: rule-based monetary growth with less credit-driven volatility.</w:t>
      </w:r>
    </w:p>
    <w:p w14:paraId="05CC9790" w14:textId="38E4ED11"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VI. </w:t>
      </w:r>
      <w:r w:rsidR="00132B46" w:rsidRPr="007918E8">
        <w:rPr>
          <w:rFonts w:ascii="Times New Roman" w:eastAsia="Times New Roman" w:hAnsi="Times New Roman" w:cs="Times New Roman"/>
          <w:i/>
          <w:iCs/>
          <w:sz w:val="24"/>
        </w:rPr>
        <w:t>Riba</w:t>
      </w:r>
      <w:r w:rsidRPr="00880AA9">
        <w:rPr>
          <w:rFonts w:ascii="Times New Roman" w:eastAsia="Times New Roman" w:hAnsi="Times New Roman" w:cs="Times New Roman"/>
          <w:sz w:val="24"/>
        </w:rPr>
        <w:t xml:space="preserve"> and the SBP reform roadmap: Pakistan Transition Framework (to 2028).</w:t>
      </w:r>
    </w:p>
    <w:p w14:paraId="14DF2411"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VII. Policy recommendations (sequenced and implementable).</w:t>
      </w:r>
    </w:p>
    <w:p w14:paraId="4F774EDB"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VIII. Risks and mitigations.</w:t>
      </w:r>
    </w:p>
    <w:p w14:paraId="2F19079E" w14:textId="77777777"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IX. Conclusion.</w:t>
      </w:r>
    </w:p>
    <w:p w14:paraId="3F88DFC4" w14:textId="77777777" w:rsidR="00880AA9" w:rsidRDefault="00880AA9" w:rsidP="00880AA9">
      <w:pPr>
        <w:spacing w:after="0" w:line="360" w:lineRule="auto"/>
        <w:jc w:val="both"/>
        <w:rPr>
          <w:rFonts w:ascii="Times New Roman" w:eastAsia="Times New Roman" w:hAnsi="Times New Roman" w:cs="Times New Roman"/>
          <w:sz w:val="24"/>
        </w:rPr>
      </w:pPr>
    </w:p>
    <w:p w14:paraId="0CF28F50" w14:textId="77777777" w:rsidR="00880AA9" w:rsidRDefault="00880AA9" w:rsidP="00880AA9">
      <w:pPr>
        <w:spacing w:after="0" w:line="360" w:lineRule="auto"/>
        <w:jc w:val="both"/>
        <w:rPr>
          <w:rFonts w:ascii="Times New Roman" w:eastAsia="Times New Roman" w:hAnsi="Times New Roman" w:cs="Times New Roman"/>
          <w:sz w:val="24"/>
        </w:rPr>
      </w:pPr>
    </w:p>
    <w:p w14:paraId="0A44D912" w14:textId="77777777" w:rsidR="00880AA9" w:rsidRDefault="00880AA9" w:rsidP="00880AA9">
      <w:pPr>
        <w:spacing w:after="0" w:line="360" w:lineRule="auto"/>
        <w:jc w:val="both"/>
        <w:rPr>
          <w:rFonts w:ascii="Times New Roman" w:eastAsia="Times New Roman" w:hAnsi="Times New Roman" w:cs="Times New Roman"/>
          <w:sz w:val="24"/>
        </w:rPr>
      </w:pPr>
    </w:p>
    <w:p w14:paraId="05A227E5" w14:textId="77777777" w:rsidR="00880AA9" w:rsidRDefault="00880AA9" w:rsidP="00880AA9">
      <w:pPr>
        <w:spacing w:after="0" w:line="360" w:lineRule="auto"/>
        <w:jc w:val="both"/>
        <w:rPr>
          <w:rFonts w:ascii="Times New Roman" w:eastAsia="Times New Roman" w:hAnsi="Times New Roman" w:cs="Times New Roman"/>
          <w:sz w:val="24"/>
        </w:rPr>
      </w:pPr>
    </w:p>
    <w:p w14:paraId="6E460CFD" w14:textId="5E3A7EE0"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Introduction</w:t>
      </w:r>
    </w:p>
    <w:p w14:paraId="106D48E3" w14:textId="77777777"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lastRenderedPageBreak/>
        <w:t>The recurring macroeconomic crises in Pakistan are often discussed as separate episodes: a balance-of-payments shock in one year, elevated inflation the next, and debt rollover stress soon after. Yet the underlying pattern remains broadly consistent. Fiscal deficits are financed through debt; rising debt servicing crowds out development spending; growth weakens; and inflation re-emerges as shocks hit an economy with a fragile exchange rate. This persistence suggests a structural problem in how Pakistan finances the state and intermediates savings and credit, not only short-term policy slippages.</w:t>
      </w:r>
    </w:p>
    <w:p w14:paraId="680707AB"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4B91F36C" w14:textId="305AA3AD"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Pakistan is also operating under a specific legal timetable to eliminate </w:t>
      </w:r>
      <w:r w:rsidR="00132B46" w:rsidRPr="00F4340D">
        <w:rPr>
          <w:rFonts w:ascii="Times New Roman" w:eastAsia="Times New Roman" w:hAnsi="Times New Roman" w:cs="Times New Roman"/>
          <w:i/>
          <w:iCs/>
          <w:sz w:val="24"/>
        </w:rPr>
        <w:t>Riba</w:t>
      </w:r>
      <w:r w:rsidRPr="00880AA9">
        <w:rPr>
          <w:rFonts w:ascii="Times New Roman" w:eastAsia="Times New Roman" w:hAnsi="Times New Roman" w:cs="Times New Roman"/>
          <w:sz w:val="24"/>
        </w:rPr>
        <w:t xml:space="preserve"> (interest). Reporting on the 26th Constitutional Amendment indicates that Article 38(f) has been strengthened by specifying a deadline: elimination of </w:t>
      </w:r>
      <w:r w:rsidR="00132B46" w:rsidRPr="00F4340D">
        <w:rPr>
          <w:rFonts w:ascii="Times New Roman" w:eastAsia="Times New Roman" w:hAnsi="Times New Roman" w:cs="Times New Roman"/>
          <w:i/>
          <w:iCs/>
          <w:sz w:val="24"/>
        </w:rPr>
        <w:t>Riba</w:t>
      </w:r>
      <w:r w:rsidRPr="00880AA9">
        <w:rPr>
          <w:rFonts w:ascii="Times New Roman" w:eastAsia="Times New Roman" w:hAnsi="Times New Roman" w:cs="Times New Roman"/>
          <w:sz w:val="24"/>
        </w:rPr>
        <w:t>, as far as practicable, by January 1, 2028 (Geo News, 2024; The Express Tribune, 2024).</w:t>
      </w:r>
    </w:p>
    <w:p w14:paraId="4882D87E"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1D054E16" w14:textId="18D90BDF" w:rsidR="008A23FE" w:rsidRDefault="008A23FE" w:rsidP="00880AA9">
      <w:pPr>
        <w:spacing w:after="0" w:line="360" w:lineRule="auto"/>
        <w:jc w:val="both"/>
        <w:rPr>
          <w:rFonts w:ascii="Times New Roman" w:eastAsia="Times New Roman" w:hAnsi="Times New Roman" w:cs="Times New Roman"/>
          <w:sz w:val="24"/>
        </w:rPr>
      </w:pPr>
      <w:r w:rsidRPr="008A23FE">
        <w:rPr>
          <w:rFonts w:ascii="Times New Roman" w:eastAsia="Times New Roman" w:hAnsi="Times New Roman" w:cs="Times New Roman"/>
          <w:sz w:val="24"/>
        </w:rPr>
        <w:t xml:space="preserve">This schedule makes an urgent reform of the financial sector. It is a strategic question as to whether Pakistan is going to re-brand the current products or address the underlying architecture that drives government borrowing, bank balance sheets and inflation dynamics. The structural reform </w:t>
      </w:r>
      <w:r w:rsidR="00E40509" w:rsidRPr="00E40509">
        <w:rPr>
          <w:rFonts w:ascii="Times New Roman" w:eastAsia="Times New Roman" w:hAnsi="Times New Roman" w:cs="Times New Roman"/>
          <w:sz w:val="24"/>
        </w:rPr>
        <w:t>argued for in this ess</w:t>
      </w:r>
      <w:r w:rsidR="0041360F">
        <w:rPr>
          <w:rFonts w:ascii="Times New Roman" w:eastAsia="Times New Roman" w:hAnsi="Times New Roman" w:cs="Times New Roman"/>
          <w:sz w:val="24"/>
        </w:rPr>
        <w:t xml:space="preserve">ay </w:t>
      </w:r>
      <w:r w:rsidRPr="008A23FE">
        <w:rPr>
          <w:rFonts w:ascii="Times New Roman" w:eastAsia="Times New Roman" w:hAnsi="Times New Roman" w:cs="Times New Roman"/>
          <w:sz w:val="24"/>
        </w:rPr>
        <w:t>(i) to have full-reserve money of transactions a payments utility, rather than an interest-bearing trade claim and (ii) to have interest-free, risk-sharing finance structured as risk-bearing intermediation. This is not being provided as an economic panacea to the Pakistani economy. The narrower claim is that the decoupling of money creation and credit creation can be used to relax the feedback mechanism between government finance and bank balance sheets, and by extension, to inflation, especially strong when the sovereign–bank nexus is particularly tight (</w:t>
      </w:r>
      <w:r w:rsidR="00877BB0" w:rsidRPr="00877BB0">
        <w:rPr>
          <w:rFonts w:ascii="Times New Roman" w:eastAsia="Times New Roman" w:hAnsi="Times New Roman" w:cs="Times New Roman"/>
          <w:sz w:val="24"/>
        </w:rPr>
        <w:t>International Monetary Fund [IMF], 2024</w:t>
      </w:r>
      <w:r w:rsidRPr="008A23FE">
        <w:rPr>
          <w:rFonts w:ascii="Times New Roman" w:eastAsia="Times New Roman" w:hAnsi="Times New Roman" w:cs="Times New Roman"/>
          <w:sz w:val="24"/>
        </w:rPr>
        <w:t>).</w:t>
      </w:r>
    </w:p>
    <w:p w14:paraId="599B76FC" w14:textId="77777777" w:rsidR="008A23FE" w:rsidRDefault="008A23FE" w:rsidP="00880AA9">
      <w:pPr>
        <w:spacing w:after="0" w:line="360" w:lineRule="auto"/>
        <w:jc w:val="both"/>
        <w:rPr>
          <w:rFonts w:ascii="Times New Roman" w:eastAsia="Times New Roman" w:hAnsi="Times New Roman" w:cs="Times New Roman"/>
          <w:sz w:val="24"/>
        </w:rPr>
      </w:pPr>
    </w:p>
    <w:p w14:paraId="2704D9AC" w14:textId="55F7C31F"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Pakistan’s debt-deficit-inflation trap</w:t>
      </w:r>
    </w:p>
    <w:p w14:paraId="4DA61E17" w14:textId="591438C5" w:rsidR="008A23FE" w:rsidRPr="008A23FE" w:rsidRDefault="008A23FE" w:rsidP="008A23FE">
      <w:pPr>
        <w:spacing w:after="0" w:line="360" w:lineRule="auto"/>
        <w:jc w:val="both"/>
        <w:rPr>
          <w:rFonts w:ascii="Times New Roman" w:eastAsia="Times New Roman" w:hAnsi="Times New Roman" w:cs="Times New Roman"/>
          <w:sz w:val="24"/>
        </w:rPr>
      </w:pPr>
      <w:r w:rsidRPr="008A23FE">
        <w:rPr>
          <w:rFonts w:ascii="Times New Roman" w:eastAsia="Times New Roman" w:hAnsi="Times New Roman" w:cs="Times New Roman"/>
          <w:sz w:val="24"/>
        </w:rPr>
        <w:t xml:space="preserve">The problem of debt in Pakistan is structural. According to the Ministry of Finance, Annual Debt Review 2023–24, the total public debt is approximately PKR 71.3 trillion as of June 2024 and follows an upward trend that is attributable to both the constant fiscal deficit and high costs of funding it (Ministry of Finance, 2024a). This is not a headline figure, it is also a self-amplifying fiscal generator. More debt service has the effect of crowding out social and development expenditure and leading the state to roll over its loans in the short term. The macro implications, including a crowding out effect, rollover risk, and the extent to which the cost of interest is </w:t>
      </w:r>
      <w:r w:rsidRPr="008A23FE">
        <w:rPr>
          <w:rFonts w:ascii="Times New Roman" w:eastAsia="Times New Roman" w:hAnsi="Times New Roman" w:cs="Times New Roman"/>
          <w:sz w:val="24"/>
        </w:rPr>
        <w:lastRenderedPageBreak/>
        <w:t>conditional on the policy rate, are actively discussed in Pakistani popular discourse (Khalilullah, 2024; Kundi, 2024) and align with the structural diagnosis, which is promoted in the official set of documents devoted to debt policy (Ministry of Finance, 2024b).</w:t>
      </w:r>
    </w:p>
    <w:p w14:paraId="78DD4406" w14:textId="77777777" w:rsidR="008A23FE" w:rsidRPr="008A23FE" w:rsidRDefault="008A23FE" w:rsidP="008A23FE">
      <w:pPr>
        <w:spacing w:after="0" w:line="360" w:lineRule="auto"/>
        <w:jc w:val="both"/>
        <w:rPr>
          <w:rFonts w:ascii="Times New Roman" w:eastAsia="Times New Roman" w:hAnsi="Times New Roman" w:cs="Times New Roman"/>
          <w:sz w:val="24"/>
        </w:rPr>
      </w:pPr>
    </w:p>
    <w:p w14:paraId="784DED53" w14:textId="7C54521B" w:rsidR="00880AA9" w:rsidRDefault="008A23FE" w:rsidP="008A23FE">
      <w:pPr>
        <w:spacing w:after="0" w:line="360" w:lineRule="auto"/>
        <w:jc w:val="both"/>
        <w:rPr>
          <w:rFonts w:ascii="Times New Roman" w:eastAsia="Times New Roman" w:hAnsi="Times New Roman" w:cs="Times New Roman"/>
          <w:sz w:val="24"/>
        </w:rPr>
      </w:pPr>
      <w:r w:rsidRPr="008A23FE">
        <w:rPr>
          <w:rFonts w:ascii="Times New Roman" w:eastAsia="Times New Roman" w:hAnsi="Times New Roman" w:cs="Times New Roman"/>
          <w:sz w:val="24"/>
        </w:rPr>
        <w:t>One of the significant conduits of such a trap is the sovereign-bank loop. Banks in emerging economies hold huge volumes of government securities and the domestic activities of the government are funded by banks; in times of strain, central bank long-term liquidity assistance may be used to enhance the interconnectedness between a sovereign and banking institutions. This article examines these links and the ways they can tie policymaking decisions in Pakistan over time (IMF, 2024). Inflation is a major social loss in this environment. Supply shocks and exchange-rate pass-through can be stronger and more persistent where fiscal dominance prevails, weakening the credibility of the nominal anchor and blurring the constraint between excessive expenditures and tax financing.</w:t>
      </w:r>
      <w:r>
        <w:rPr>
          <w:rFonts w:ascii="Times New Roman" w:eastAsia="Times New Roman" w:hAnsi="Times New Roman" w:cs="Times New Roman"/>
          <w:sz w:val="24"/>
        </w:rPr>
        <w:t xml:space="preserve"> </w:t>
      </w:r>
      <w:r w:rsidR="00880AA9" w:rsidRPr="00880AA9">
        <w:rPr>
          <w:rFonts w:ascii="Times New Roman" w:eastAsia="Times New Roman" w:hAnsi="Times New Roman" w:cs="Times New Roman"/>
          <w:sz w:val="24"/>
        </w:rPr>
        <w:t>This is why international assessments often emphasize restoring fiscal sustainability and confidence as conditions for durable stability (World Bank, 2023).</w:t>
      </w:r>
    </w:p>
    <w:p w14:paraId="2CD7812C" w14:textId="77777777" w:rsidR="008A23FE" w:rsidRPr="00880AA9" w:rsidRDefault="008A23FE" w:rsidP="008A23FE">
      <w:pPr>
        <w:spacing w:after="0" w:line="360" w:lineRule="auto"/>
        <w:jc w:val="both"/>
        <w:rPr>
          <w:rFonts w:ascii="Times New Roman" w:eastAsia="Times New Roman" w:hAnsi="Times New Roman" w:cs="Times New Roman"/>
          <w:sz w:val="24"/>
        </w:rPr>
      </w:pPr>
    </w:p>
    <w:p w14:paraId="6096725A"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Why fractional-reserve banking matters</w:t>
      </w:r>
    </w:p>
    <w:p w14:paraId="06ADC170" w14:textId="77777777" w:rsidR="00880AA9" w:rsidRP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Three technical features link monetary architecture to Pakistan’s macroeconomic constraints.</w:t>
      </w:r>
    </w:p>
    <w:p w14:paraId="52E297E3" w14:textId="77777777"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First, modern banking systems create much of the money used for transactions. As the Bank of England explains, when a commercial bank extends a loan, it simultaneously creates a matching deposit; banks are not simply lending out pre-existing savings (McLeay et al., 2014). Credit cycles can therefore become money cycles: when credit expands rapidly, transaction balances expand; when credit tightens, liquidity conditions tighten.</w:t>
      </w:r>
    </w:p>
    <w:p w14:paraId="5D99FE31"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59E9D420" w14:textId="054037C5"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Second, runnable deposits create the logic of public backstops. When confidence shifts, depositors can move balances quickly, forcing liquidity interventions to protect the payments system. Post-2023 regulatory reviews highlight how rapidly liquidity stress can emerge and how authorities may deploy extraordinary measures to contain contagion (</w:t>
      </w:r>
      <w:r w:rsidR="000D50CD" w:rsidRPr="000D50CD">
        <w:rPr>
          <w:rFonts w:ascii="Times New Roman" w:eastAsia="Times New Roman" w:hAnsi="Times New Roman" w:cs="Times New Roman"/>
          <w:sz w:val="24"/>
        </w:rPr>
        <w:t>Basel Committee on Banking Supervision, 2023; Financial Stability Board, 2024</w:t>
      </w:r>
      <w:r w:rsidRPr="00880AA9">
        <w:rPr>
          <w:rFonts w:ascii="Times New Roman" w:eastAsia="Times New Roman" w:hAnsi="Times New Roman" w:cs="Times New Roman"/>
          <w:sz w:val="24"/>
        </w:rPr>
        <w:t>).</w:t>
      </w:r>
    </w:p>
    <w:p w14:paraId="23744621"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7A7BC8B5" w14:textId="77777777"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Third, this architecture can tilt incentives toward financing the state rather than the productive economy. If banks can fund holdings of government paper with short-term deposits and expect liquidity support during stress, government securities become a comparatively attractive balance-</w:t>
      </w:r>
      <w:r w:rsidRPr="00880AA9">
        <w:rPr>
          <w:rFonts w:ascii="Times New Roman" w:eastAsia="Times New Roman" w:hAnsi="Times New Roman" w:cs="Times New Roman"/>
          <w:sz w:val="24"/>
        </w:rPr>
        <w:lastRenderedPageBreak/>
        <w:t>sheet strategy. In Pakistan, where the sovereign-bank nexus is well documented, this helps explain why banks allocate heavily to government paper and why private-sector credit—especially for SMEs and long-term investment—can remain structurally constrained (IMF, 2024).</w:t>
      </w:r>
    </w:p>
    <w:p w14:paraId="78A7FAC2"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79CFB5F8"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A workable reform model</w:t>
      </w:r>
    </w:p>
    <w:p w14:paraId="3084F2CA" w14:textId="77777777"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A full-reserve, interest-free system is best designed as a two-tier structure that separates a safe payments utility from risk-bearing intermediation.</w:t>
      </w:r>
    </w:p>
    <w:p w14:paraId="7E14F301"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7763076C"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Full-reserve “Payment Banks” for transaction money</w:t>
      </w:r>
    </w:p>
    <w:p w14:paraId="2D20A47C" w14:textId="77777777"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Transaction accounts would be fully backed by central bank reserves (or sovereign digital cash). The provider—whether a bank or a licensed payments institution—would act as a custodian and payments service, charging transparent fees for account and payments services rather than using transaction balances to fund loans. In this model, transaction balances function as sovereign money held in custody, not as risky bank liabilities. Structurally, this reduces classic run dynamics and allows deposit protection to focus on actual risk exposures rather than on protecting bank-created transaction money.</w:t>
      </w:r>
    </w:p>
    <w:p w14:paraId="26B77638"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5852F267"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Capital formation via separate Investment/Financing Institutions</w:t>
      </w:r>
    </w:p>
    <w:p w14:paraId="012A2C98" w14:textId="4842E736"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Time-bound investment accounts, equity-like participatory contracts, and asset-based instruments would be used to finance credit and investment. The architecture clarifies a common practical confusion in Islamic finance: transaction services resemble </w:t>
      </w:r>
      <w:r w:rsidR="00132B46" w:rsidRPr="00225F8E">
        <w:rPr>
          <w:rFonts w:ascii="Times New Roman" w:eastAsia="Times New Roman" w:hAnsi="Times New Roman" w:cs="Times New Roman"/>
          <w:i/>
          <w:iCs/>
          <w:sz w:val="24"/>
        </w:rPr>
        <w:t>A</w:t>
      </w:r>
      <w:r w:rsidRPr="00225F8E">
        <w:rPr>
          <w:rFonts w:ascii="Times New Roman" w:eastAsia="Times New Roman" w:hAnsi="Times New Roman" w:cs="Times New Roman"/>
          <w:i/>
          <w:iCs/>
          <w:sz w:val="24"/>
        </w:rPr>
        <w:t>manah</w:t>
      </w:r>
      <w:r w:rsidRPr="00880AA9">
        <w:rPr>
          <w:rFonts w:ascii="Times New Roman" w:eastAsia="Times New Roman" w:hAnsi="Times New Roman" w:cs="Times New Roman"/>
          <w:sz w:val="24"/>
        </w:rPr>
        <w:t xml:space="preserve"> or </w:t>
      </w:r>
      <w:r w:rsidR="00132B46" w:rsidRPr="00225F8E">
        <w:rPr>
          <w:rFonts w:ascii="Times New Roman" w:eastAsia="Times New Roman" w:hAnsi="Times New Roman" w:cs="Times New Roman"/>
          <w:i/>
          <w:iCs/>
          <w:sz w:val="24"/>
        </w:rPr>
        <w:t>Q</w:t>
      </w:r>
      <w:r w:rsidRPr="00225F8E">
        <w:rPr>
          <w:rFonts w:ascii="Times New Roman" w:eastAsia="Times New Roman" w:hAnsi="Times New Roman" w:cs="Times New Roman"/>
          <w:i/>
          <w:iCs/>
          <w:sz w:val="24"/>
        </w:rPr>
        <w:t>ard</w:t>
      </w:r>
      <w:r w:rsidRPr="00880AA9">
        <w:rPr>
          <w:rFonts w:ascii="Times New Roman" w:eastAsia="Times New Roman" w:hAnsi="Times New Roman" w:cs="Times New Roman"/>
          <w:sz w:val="24"/>
        </w:rPr>
        <w:t xml:space="preserve">-like safe custody and payments, while investment finance is provided through </w:t>
      </w:r>
      <w:r w:rsidR="00132B46" w:rsidRPr="00225F8E">
        <w:rPr>
          <w:rFonts w:ascii="Times New Roman" w:eastAsia="Times New Roman" w:hAnsi="Times New Roman" w:cs="Times New Roman"/>
          <w:i/>
          <w:iCs/>
          <w:sz w:val="24"/>
        </w:rPr>
        <w:t>M</w:t>
      </w:r>
      <w:r w:rsidRPr="00225F8E">
        <w:rPr>
          <w:rFonts w:ascii="Times New Roman" w:eastAsia="Times New Roman" w:hAnsi="Times New Roman" w:cs="Times New Roman"/>
          <w:i/>
          <w:iCs/>
          <w:sz w:val="24"/>
        </w:rPr>
        <w:t>udarabah</w:t>
      </w:r>
      <w:r w:rsidRPr="00880AA9">
        <w:rPr>
          <w:rFonts w:ascii="Times New Roman" w:eastAsia="Times New Roman" w:hAnsi="Times New Roman" w:cs="Times New Roman"/>
          <w:sz w:val="24"/>
        </w:rPr>
        <w:t xml:space="preserve"> and </w:t>
      </w:r>
      <w:r w:rsidR="00132B46" w:rsidRPr="00225F8E">
        <w:rPr>
          <w:rFonts w:ascii="Times New Roman" w:eastAsia="Times New Roman" w:hAnsi="Times New Roman" w:cs="Times New Roman"/>
          <w:i/>
          <w:iCs/>
          <w:sz w:val="24"/>
        </w:rPr>
        <w:t>M</w:t>
      </w:r>
      <w:r w:rsidRPr="00225F8E">
        <w:rPr>
          <w:rFonts w:ascii="Times New Roman" w:eastAsia="Times New Roman" w:hAnsi="Times New Roman" w:cs="Times New Roman"/>
          <w:i/>
          <w:iCs/>
          <w:sz w:val="24"/>
        </w:rPr>
        <w:t xml:space="preserve">usharakah </w:t>
      </w:r>
      <w:r w:rsidRPr="00880AA9">
        <w:rPr>
          <w:rFonts w:ascii="Times New Roman" w:eastAsia="Times New Roman" w:hAnsi="Times New Roman" w:cs="Times New Roman"/>
          <w:sz w:val="24"/>
        </w:rPr>
        <w:t xml:space="preserve">(profit-and-loss sharing), </w:t>
      </w:r>
      <w:r w:rsidR="00163D97">
        <w:rPr>
          <w:rFonts w:ascii="Times New Roman" w:eastAsia="Times New Roman" w:hAnsi="Times New Roman" w:cs="Times New Roman"/>
          <w:i/>
          <w:iCs/>
          <w:sz w:val="24"/>
        </w:rPr>
        <w:t>Ijara</w:t>
      </w:r>
      <w:r w:rsidR="00ED3E6A" w:rsidRPr="00880AA9">
        <w:rPr>
          <w:rFonts w:ascii="Times New Roman" w:eastAsia="Times New Roman" w:hAnsi="Times New Roman" w:cs="Times New Roman"/>
          <w:sz w:val="24"/>
        </w:rPr>
        <w:t xml:space="preserve"> </w:t>
      </w:r>
      <w:r w:rsidRPr="00880AA9">
        <w:rPr>
          <w:rFonts w:ascii="Times New Roman" w:eastAsia="Times New Roman" w:hAnsi="Times New Roman" w:cs="Times New Roman"/>
          <w:sz w:val="24"/>
        </w:rPr>
        <w:t>(leasing), and well-designed sukuk that allocate and disclose risk transparently.</w:t>
      </w:r>
    </w:p>
    <w:p w14:paraId="77D34F27"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49FD6828"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Clear SBP and Treasury roles under strong governance</w:t>
      </w:r>
    </w:p>
    <w:p w14:paraId="1991B56E" w14:textId="004DC47F"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In this model, price stability and financial stability remain SBP’s responsibility. SBP would be the issuer of transaction money under explicit rules, transparency requirements, and independent oversight. SBP’s own planning recognizes the scale of legal and operational transformation required for a transition to an interest-free system (</w:t>
      </w:r>
      <w:r w:rsidR="00BC4060" w:rsidRPr="00BC4060">
        <w:rPr>
          <w:rFonts w:ascii="Times New Roman" w:eastAsia="Times New Roman" w:hAnsi="Times New Roman" w:cs="Times New Roman"/>
          <w:sz w:val="24"/>
        </w:rPr>
        <w:t>State Bank of Pakistan [SBP], 2022</w:t>
      </w:r>
      <w:r w:rsidRPr="00880AA9">
        <w:rPr>
          <w:rFonts w:ascii="Times New Roman" w:eastAsia="Times New Roman" w:hAnsi="Times New Roman" w:cs="Times New Roman"/>
          <w:sz w:val="24"/>
        </w:rPr>
        <w:t>).</w:t>
      </w:r>
    </w:p>
    <w:p w14:paraId="43A1744C"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05E9F550"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How reform can lessen debt, deficits, and inflation</w:t>
      </w:r>
    </w:p>
    <w:p w14:paraId="7B74A1F3" w14:textId="77777777"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lastRenderedPageBreak/>
        <w:t>The case for reform rests less on promised “miracles” and more on several reinforcing channels that can reduce systemic amplification.</w:t>
      </w:r>
    </w:p>
    <w:p w14:paraId="63C9FCC4"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4475E7B4"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Channel 1: Transition dividend—seigniorage and breaking the sovereign-bank loop</w:t>
      </w:r>
    </w:p>
    <w:p w14:paraId="2FF07AF9" w14:textId="77777777" w:rsidR="008876A2" w:rsidRDefault="008876A2" w:rsidP="008876A2">
      <w:pPr>
        <w:spacing w:after="0" w:line="360" w:lineRule="auto"/>
        <w:jc w:val="both"/>
        <w:rPr>
          <w:rFonts w:ascii="Times New Roman" w:eastAsia="Times New Roman" w:hAnsi="Times New Roman" w:cs="Times New Roman"/>
          <w:sz w:val="24"/>
        </w:rPr>
      </w:pPr>
      <w:r w:rsidRPr="008876A2">
        <w:rPr>
          <w:rFonts w:ascii="Times New Roman" w:eastAsia="Times New Roman" w:hAnsi="Times New Roman" w:cs="Times New Roman"/>
          <w:sz w:val="24"/>
        </w:rPr>
        <w:t>A full-reserve transition involves converting bank-created transaction deposits into sovereign money, thereby ending the creation of deposit money through bank lending. Benes and Kumhof (2012) argue that if banks cease to create money when extending loans, lending rates would tend to rise. At the same time, the state could capture seigniorage previously generated through deposit creation, which could help smooth boom-bust cycles and, in principle, retire part of the public debt.</w:t>
      </w:r>
    </w:p>
    <w:p w14:paraId="4687DE7F" w14:textId="77777777" w:rsidR="008876A2" w:rsidRPr="008876A2" w:rsidRDefault="008876A2" w:rsidP="008876A2">
      <w:pPr>
        <w:spacing w:after="0" w:line="360" w:lineRule="auto"/>
        <w:jc w:val="both"/>
        <w:rPr>
          <w:rFonts w:ascii="Times New Roman" w:eastAsia="Times New Roman" w:hAnsi="Times New Roman" w:cs="Times New Roman"/>
          <w:sz w:val="24"/>
        </w:rPr>
      </w:pPr>
    </w:p>
    <w:p w14:paraId="37AA80B8" w14:textId="77777777" w:rsidR="008876A2" w:rsidRDefault="008876A2" w:rsidP="008876A2">
      <w:pPr>
        <w:spacing w:after="0" w:line="360" w:lineRule="auto"/>
        <w:jc w:val="both"/>
        <w:rPr>
          <w:rFonts w:ascii="Times New Roman" w:eastAsia="Times New Roman" w:hAnsi="Times New Roman" w:cs="Times New Roman"/>
          <w:sz w:val="24"/>
        </w:rPr>
      </w:pPr>
      <w:r w:rsidRPr="008876A2">
        <w:rPr>
          <w:rFonts w:ascii="Times New Roman" w:eastAsia="Times New Roman" w:hAnsi="Times New Roman" w:cs="Times New Roman"/>
          <w:sz w:val="24"/>
        </w:rPr>
        <w:t>For Pakistan, the most important structural benefit is not a one-off debt write-down, but a weakening of the “vicious triangle” in which banks finance the government, the government relies on banks for rollover, and the central bank faces pressure to provide liquidity support in stress episodes, thereby tightening sovereign–bank interdependence (IMF, 2024).</w:t>
      </w:r>
    </w:p>
    <w:p w14:paraId="00143247" w14:textId="77777777" w:rsidR="008876A2" w:rsidRPr="008876A2" w:rsidRDefault="008876A2" w:rsidP="008876A2">
      <w:pPr>
        <w:spacing w:after="0" w:line="360" w:lineRule="auto"/>
        <w:jc w:val="both"/>
        <w:rPr>
          <w:rFonts w:ascii="Times New Roman" w:eastAsia="Times New Roman" w:hAnsi="Times New Roman" w:cs="Times New Roman"/>
          <w:sz w:val="24"/>
        </w:rPr>
      </w:pPr>
    </w:p>
    <w:p w14:paraId="08EB18DD"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Channel 2: Medium-term fiscal dividend—lower servicing pressure and better expenditure quality</w:t>
      </w:r>
    </w:p>
    <w:p w14:paraId="680EFAA0" w14:textId="77777777" w:rsidR="008876A2" w:rsidRPr="008876A2" w:rsidRDefault="008876A2" w:rsidP="008876A2">
      <w:pPr>
        <w:spacing w:after="0" w:line="360" w:lineRule="auto"/>
        <w:jc w:val="both"/>
        <w:rPr>
          <w:rFonts w:ascii="Times New Roman" w:eastAsia="Times New Roman" w:hAnsi="Times New Roman" w:cs="Times New Roman"/>
          <w:sz w:val="24"/>
        </w:rPr>
      </w:pPr>
      <w:r w:rsidRPr="008876A2">
        <w:rPr>
          <w:rFonts w:ascii="Times New Roman" w:eastAsia="Times New Roman" w:hAnsi="Times New Roman" w:cs="Times New Roman"/>
          <w:sz w:val="24"/>
        </w:rPr>
        <w:t>Official reporting emphasizes that Pakistan’s debt dynamics are driven by persistent fiscal deficits and high financing costs (Ministry of Finance, 2024a). An interest-free regime would not eliminate the need for fiscal discipline, but it could alter the composition and risk profile of public liabilities. In particular, unless public financing shifts toward audited, asset-linked sukuk and revenue-participation instruments, rather than short-term, interest-sensitive domestic borrowing, debt-servicing costs will remain closely tied to short-term interest-rate movements. This aligns with debt-management priorities highlighted in Pakistan’s debt policy materials (Ministry of Finance, 2024b).</w:t>
      </w:r>
    </w:p>
    <w:p w14:paraId="21B1C18A" w14:textId="77777777" w:rsidR="008876A2" w:rsidRDefault="008876A2" w:rsidP="008876A2">
      <w:pPr>
        <w:spacing w:after="0" w:line="360" w:lineRule="auto"/>
        <w:jc w:val="both"/>
        <w:rPr>
          <w:rFonts w:ascii="Times New Roman" w:eastAsia="Times New Roman" w:hAnsi="Times New Roman" w:cs="Times New Roman"/>
          <w:sz w:val="24"/>
        </w:rPr>
      </w:pPr>
      <w:r w:rsidRPr="008876A2">
        <w:rPr>
          <w:rFonts w:ascii="Times New Roman" w:eastAsia="Times New Roman" w:hAnsi="Times New Roman" w:cs="Times New Roman"/>
          <w:sz w:val="24"/>
        </w:rPr>
        <w:t>Lower debt-servicing pressure could also improve expenditure quality by protecting development spending, which supports growth and, over time, revenue mobilization. The World Bank similarly argues that credible fiscal consolidation and structural reforms are central to restoring Pakistan’s fiscal sustainability (World Bank, 2023). A financing structure that reduces sensitivity to debt-service cycles can therefore support the broader agenda of stabilization and reform.</w:t>
      </w:r>
    </w:p>
    <w:p w14:paraId="7F114D5F" w14:textId="77777777" w:rsidR="008876A2" w:rsidRPr="008876A2" w:rsidRDefault="008876A2" w:rsidP="008876A2">
      <w:pPr>
        <w:spacing w:after="0" w:line="360" w:lineRule="auto"/>
        <w:jc w:val="both"/>
        <w:rPr>
          <w:rFonts w:ascii="Times New Roman" w:eastAsia="Times New Roman" w:hAnsi="Times New Roman" w:cs="Times New Roman"/>
          <w:sz w:val="24"/>
        </w:rPr>
      </w:pPr>
    </w:p>
    <w:p w14:paraId="281CE11E"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lastRenderedPageBreak/>
        <w:t>Channel 3: Inflation control—rule-based money growth and less credit-driven volatility</w:t>
      </w:r>
    </w:p>
    <w:p w14:paraId="76F4F9F0" w14:textId="77777777" w:rsidR="00880AA9" w:rsidRDefault="00880AA9" w:rsidP="00880AA9">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When transaction money is sovereign, transaction balances are less mechanically tied to private credit booms (McLeay et al., 2014). Research on narrow banking suggests restricting money creation can reduce instability, but it can also create growth trade-offs if alternative intermediation is weak (Merkel, 2020). The design objective for Pakistan is therefore not to starve the economy of finance, but to govern transaction money growth under a transparent issuance rule while ensuring that investment finance is delivered through risk-bearing channels that do not automatically expand transaction money.</w:t>
      </w:r>
    </w:p>
    <w:p w14:paraId="4DF5B38C" w14:textId="77777777" w:rsidR="008A23FE" w:rsidRPr="00880AA9" w:rsidRDefault="008A23FE" w:rsidP="00880AA9">
      <w:pPr>
        <w:spacing w:after="0" w:line="360" w:lineRule="auto"/>
        <w:jc w:val="both"/>
        <w:rPr>
          <w:rFonts w:ascii="Times New Roman" w:eastAsia="Times New Roman" w:hAnsi="Times New Roman" w:cs="Times New Roman"/>
          <w:sz w:val="24"/>
        </w:rPr>
      </w:pPr>
    </w:p>
    <w:p w14:paraId="2F255550" w14:textId="354ADB54" w:rsidR="00880AA9" w:rsidRPr="00880AA9" w:rsidRDefault="00132B46" w:rsidP="00880AA9">
      <w:pPr>
        <w:spacing w:after="0" w:line="360" w:lineRule="auto"/>
        <w:jc w:val="both"/>
        <w:rPr>
          <w:rFonts w:ascii="Times New Roman" w:eastAsia="Times New Roman" w:hAnsi="Times New Roman" w:cs="Times New Roman"/>
          <w:b/>
          <w:bCs/>
          <w:sz w:val="24"/>
        </w:rPr>
      </w:pPr>
      <w:r w:rsidRPr="00ED3E6A">
        <w:rPr>
          <w:rFonts w:ascii="Times New Roman" w:eastAsia="Times New Roman" w:hAnsi="Times New Roman" w:cs="Times New Roman"/>
          <w:b/>
          <w:bCs/>
          <w:i/>
          <w:iCs/>
          <w:sz w:val="24"/>
        </w:rPr>
        <w:t>Riba</w:t>
      </w:r>
      <w:r w:rsidR="00880AA9" w:rsidRPr="00880AA9">
        <w:rPr>
          <w:rFonts w:ascii="Times New Roman" w:eastAsia="Times New Roman" w:hAnsi="Times New Roman" w:cs="Times New Roman"/>
          <w:b/>
          <w:bCs/>
          <w:sz w:val="24"/>
        </w:rPr>
        <w:t xml:space="preserve"> and the SBP reform roadmap: Pakistan Transition Framework (to 2028)</w:t>
      </w:r>
    </w:p>
    <w:p w14:paraId="60275E18" w14:textId="71AC5CB6" w:rsidR="008A23FE" w:rsidRDefault="00880AA9" w:rsidP="00FC13FA">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Pakistan’s reform timetable is unusually explicit. Geo News reports that the constitutional amendment targets elimination of </w:t>
      </w:r>
      <w:r w:rsidR="00132B46" w:rsidRPr="00ED3E6A">
        <w:rPr>
          <w:rFonts w:ascii="Times New Roman" w:eastAsia="Times New Roman" w:hAnsi="Times New Roman" w:cs="Times New Roman"/>
          <w:i/>
          <w:iCs/>
          <w:sz w:val="24"/>
        </w:rPr>
        <w:t>Riba</w:t>
      </w:r>
      <w:r w:rsidRPr="00880AA9">
        <w:rPr>
          <w:rFonts w:ascii="Times New Roman" w:eastAsia="Times New Roman" w:hAnsi="Times New Roman" w:cs="Times New Roman"/>
          <w:sz w:val="24"/>
        </w:rPr>
        <w:t xml:space="preserve"> </w:t>
      </w:r>
      <w:r w:rsidR="000D6963" w:rsidRPr="000D6963">
        <w:rPr>
          <w:rFonts w:ascii="Times New Roman" w:eastAsia="Times New Roman" w:hAnsi="Times New Roman" w:cs="Times New Roman"/>
          <w:sz w:val="24"/>
        </w:rPr>
        <w:t>practically</w:t>
      </w:r>
      <w:r w:rsidRPr="00880AA9">
        <w:rPr>
          <w:rFonts w:ascii="Times New Roman" w:eastAsia="Times New Roman" w:hAnsi="Times New Roman" w:cs="Times New Roman"/>
          <w:sz w:val="24"/>
        </w:rPr>
        <w:t xml:space="preserve"> by January 1, 2028, framing the amendment as consistent with the court-driven direction of transition (Geo News, 2024</w:t>
      </w:r>
      <w:r w:rsidR="008E69AA">
        <w:rPr>
          <w:rFonts w:ascii="Times New Roman" w:eastAsia="Times New Roman" w:hAnsi="Times New Roman" w:cs="Times New Roman"/>
          <w:sz w:val="24"/>
        </w:rPr>
        <w:t xml:space="preserve">). </w:t>
      </w:r>
      <w:r w:rsidR="00FC13FA" w:rsidRPr="00FC13FA">
        <w:rPr>
          <w:rFonts w:ascii="Times New Roman" w:eastAsia="Times New Roman" w:hAnsi="Times New Roman" w:cs="Times New Roman"/>
          <w:sz w:val="24"/>
        </w:rPr>
        <w:t xml:space="preserve">According to The Express Tribune, the amendment requires </w:t>
      </w:r>
      <w:r w:rsidR="00132B46" w:rsidRPr="00ED3E6A">
        <w:rPr>
          <w:rFonts w:ascii="Times New Roman" w:eastAsia="Times New Roman" w:hAnsi="Times New Roman" w:cs="Times New Roman"/>
          <w:i/>
          <w:iCs/>
          <w:sz w:val="24"/>
        </w:rPr>
        <w:t>Riba</w:t>
      </w:r>
      <w:r w:rsidR="00FC13FA" w:rsidRPr="00FC13FA">
        <w:rPr>
          <w:rFonts w:ascii="Times New Roman" w:eastAsia="Times New Roman" w:hAnsi="Times New Roman" w:cs="Times New Roman"/>
          <w:sz w:val="24"/>
        </w:rPr>
        <w:t xml:space="preserve"> to be removed no later than 1 January 2028 (The Express Tribune, 20</w:t>
      </w:r>
      <w:r w:rsidR="006115FE">
        <w:rPr>
          <w:rFonts w:ascii="Times New Roman" w:eastAsia="Times New Roman" w:hAnsi="Times New Roman" w:cs="Times New Roman"/>
          <w:sz w:val="24"/>
        </w:rPr>
        <w:t>2</w:t>
      </w:r>
      <w:r w:rsidR="00FC13FA" w:rsidRPr="00FC13FA">
        <w:rPr>
          <w:rFonts w:ascii="Times New Roman" w:eastAsia="Times New Roman" w:hAnsi="Times New Roman" w:cs="Times New Roman"/>
          <w:sz w:val="24"/>
        </w:rPr>
        <w:t>4). In a different context, SBP’s Financial Stability Review reports the direction allowed by Federal Shariat Court and identifies important challenges and opportunities for transitioning banking to Islamic modes through end-2027 (SBP, 2022). External constraints remain binding. Pakistan’s credibility rests on access to financing and the (ability) to roll-over commitments. Pakistan has sought external financing from regional banks, Reuters reports, and against this background macroeconomic discipline has a significant influence on confidence (Reuters, 2024a). Debates on large scale Islamic financing facilities have also crisscrossed the discussions on financial and energy sector liabilities indicating that a lack of interest does not mean that there is no price, risk allocation mechanism, or implementation burden to resolve (Reuters, 2024b).</w:t>
      </w:r>
    </w:p>
    <w:p w14:paraId="4E4A20DC" w14:textId="77777777" w:rsidR="00FC13FA" w:rsidRPr="00880AA9" w:rsidRDefault="00FC13FA" w:rsidP="00FC13FA">
      <w:pPr>
        <w:spacing w:after="0" w:line="360" w:lineRule="auto"/>
        <w:jc w:val="both"/>
        <w:rPr>
          <w:rFonts w:ascii="Times New Roman" w:eastAsia="Times New Roman" w:hAnsi="Times New Roman" w:cs="Times New Roman"/>
          <w:sz w:val="24"/>
        </w:rPr>
      </w:pPr>
    </w:p>
    <w:p w14:paraId="7B7864FD" w14:textId="77777777" w:rsidR="00880AA9"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Policy recommendations (sequenced and implementable)</w:t>
      </w:r>
    </w:p>
    <w:p w14:paraId="676990ED" w14:textId="77777777" w:rsidR="00FC13FA" w:rsidRDefault="00FC13FA" w:rsidP="00880AA9">
      <w:pPr>
        <w:spacing w:after="0" w:line="360" w:lineRule="auto"/>
        <w:jc w:val="both"/>
        <w:rPr>
          <w:rFonts w:ascii="Times New Roman" w:eastAsia="Times New Roman" w:hAnsi="Times New Roman" w:cs="Times New Roman"/>
          <w:sz w:val="24"/>
        </w:rPr>
      </w:pPr>
      <w:r w:rsidRPr="00FC13FA">
        <w:rPr>
          <w:rFonts w:ascii="Times New Roman" w:eastAsia="Times New Roman" w:hAnsi="Times New Roman" w:cs="Times New Roman"/>
          <w:sz w:val="24"/>
        </w:rPr>
        <w:t>1) 2026: Set up a two-tier licensing system. Develop separate regulatory structures for (i) Payment Banks, or ring-fenced payment subsidiaries of banks offering transaction accounts fully backed by reserves, and (ii) Investment/Financing Institutions providing risk-bearing finance. Need rigorous ring-fencing, reserve backing disclosure in real time and strong consumer disclosure standards.</w:t>
      </w:r>
    </w:p>
    <w:p w14:paraId="3DD63E6D" w14:textId="77777777" w:rsidR="00FC13FA" w:rsidRDefault="00FC13FA" w:rsidP="00880AA9">
      <w:pPr>
        <w:spacing w:after="0" w:line="360" w:lineRule="auto"/>
        <w:jc w:val="both"/>
        <w:rPr>
          <w:rFonts w:ascii="Times New Roman" w:eastAsia="Times New Roman" w:hAnsi="Times New Roman" w:cs="Times New Roman"/>
          <w:sz w:val="24"/>
        </w:rPr>
      </w:pPr>
    </w:p>
    <w:p w14:paraId="15F9CDB9" w14:textId="57E9C277" w:rsidR="008A23FE" w:rsidRDefault="00FC13FA" w:rsidP="00880AA9">
      <w:pPr>
        <w:spacing w:after="0" w:line="360" w:lineRule="auto"/>
        <w:jc w:val="both"/>
        <w:rPr>
          <w:rFonts w:ascii="Times New Roman" w:eastAsia="Times New Roman" w:hAnsi="Times New Roman" w:cs="Times New Roman"/>
          <w:sz w:val="24"/>
        </w:rPr>
      </w:pPr>
      <w:r w:rsidRPr="00FC13FA">
        <w:rPr>
          <w:rFonts w:ascii="Times New Roman" w:eastAsia="Times New Roman" w:hAnsi="Times New Roman" w:cs="Times New Roman"/>
          <w:sz w:val="24"/>
        </w:rPr>
        <w:lastRenderedPageBreak/>
        <w:t xml:space="preserve"> 2) 2026–2027: Switch governments flows over first. Circulate government receipts, salaries, pensions and big payrolls through fully reserved transaction accounts. This could achieve scale rapidly, and decrease systemic risk within payments, as well as enhancing fiscal transparency.</w:t>
      </w:r>
    </w:p>
    <w:p w14:paraId="421EF8D9" w14:textId="77777777" w:rsidR="00FC13FA" w:rsidRPr="00880AA9" w:rsidRDefault="00FC13FA" w:rsidP="00880AA9">
      <w:pPr>
        <w:spacing w:after="0" w:line="360" w:lineRule="auto"/>
        <w:jc w:val="both"/>
        <w:rPr>
          <w:rFonts w:ascii="Times New Roman" w:eastAsia="Times New Roman" w:hAnsi="Times New Roman" w:cs="Times New Roman"/>
          <w:sz w:val="24"/>
        </w:rPr>
      </w:pPr>
    </w:p>
    <w:p w14:paraId="292A402F" w14:textId="77777777" w:rsidR="008433C5" w:rsidRPr="008433C5" w:rsidRDefault="00880AA9" w:rsidP="008433C5">
      <w:pPr>
        <w:spacing w:after="0" w:line="360" w:lineRule="auto"/>
        <w:jc w:val="both"/>
        <w:rPr>
          <w:rFonts w:ascii="Times New Roman" w:eastAsia="Times New Roman" w:hAnsi="Times New Roman" w:cs="Times New Roman"/>
          <w:sz w:val="24"/>
        </w:rPr>
      </w:pPr>
      <w:r w:rsidRPr="00880AA9">
        <w:rPr>
          <w:rFonts w:ascii="Times New Roman" w:eastAsia="Times New Roman" w:hAnsi="Times New Roman" w:cs="Times New Roman"/>
          <w:sz w:val="24"/>
        </w:rPr>
        <w:t xml:space="preserve">3) 2026–2028: </w:t>
      </w:r>
      <w:r w:rsidR="008433C5" w:rsidRPr="008433C5">
        <w:rPr>
          <w:rFonts w:ascii="Times New Roman" w:eastAsia="Times New Roman" w:hAnsi="Times New Roman" w:cs="Times New Roman"/>
          <w:sz w:val="24"/>
        </w:rPr>
        <w:t>Legislate a Monetary Issuance Rule. Tie net issue of transaction (base) money to an explicit rule compatible with SBP’s price stability mandate. Mandate for quarterly reporting and independent audit, with parliamentary oversight through a Sovereign Money Report. Such governance is necessary to ensure that reform is not mistaken for a way to monetize through the backdoor.</w:t>
      </w:r>
    </w:p>
    <w:p w14:paraId="54ED20F1" w14:textId="77777777" w:rsidR="008433C5" w:rsidRPr="008433C5" w:rsidRDefault="008433C5" w:rsidP="008433C5">
      <w:pPr>
        <w:spacing w:after="0" w:line="360" w:lineRule="auto"/>
        <w:jc w:val="both"/>
        <w:rPr>
          <w:rFonts w:ascii="Times New Roman" w:eastAsia="Times New Roman" w:hAnsi="Times New Roman" w:cs="Times New Roman"/>
          <w:sz w:val="24"/>
        </w:rPr>
      </w:pPr>
    </w:p>
    <w:p w14:paraId="28159D89" w14:textId="30F7B8ED" w:rsidR="008433C5" w:rsidRPr="008433C5" w:rsidRDefault="008433C5" w:rsidP="008433C5">
      <w:pPr>
        <w:spacing w:after="0" w:line="360" w:lineRule="auto"/>
        <w:jc w:val="both"/>
        <w:rPr>
          <w:rFonts w:ascii="Times New Roman" w:eastAsia="Times New Roman" w:hAnsi="Times New Roman" w:cs="Times New Roman"/>
          <w:sz w:val="24"/>
        </w:rPr>
      </w:pPr>
      <w:r w:rsidRPr="008433C5">
        <w:rPr>
          <w:rFonts w:ascii="Times New Roman" w:eastAsia="Times New Roman" w:hAnsi="Times New Roman" w:cs="Times New Roman"/>
          <w:sz w:val="24"/>
        </w:rPr>
        <w:t>4) 2026–2028: Reform public financial instruments. Develop high-quality sukuk issuance underpinned by audited cash flows, converged legal documentation and secondary market liquidity infrastructure. Use any transition seigniorage only for well-defined, publicly announced purposes (for example in paying off expensive domestic debt); not for new recurrent spending. This could be made consistent with optimization debt-management themes, as per the debt policy documents (</w:t>
      </w:r>
      <w:r w:rsidRPr="00CE619C">
        <w:rPr>
          <w:rFonts w:ascii="Times New Roman" w:eastAsia="Times New Roman" w:hAnsi="Times New Roman" w:cs="Times New Roman"/>
          <w:sz w:val="24"/>
        </w:rPr>
        <w:t>Ministry</w:t>
      </w:r>
      <w:r w:rsidR="00E95440">
        <w:rPr>
          <w:rFonts w:ascii="Times New Roman" w:eastAsia="Times New Roman" w:hAnsi="Times New Roman" w:cs="Times New Roman"/>
          <w:sz w:val="24"/>
        </w:rPr>
        <w:t xml:space="preserve"> </w:t>
      </w:r>
      <w:r w:rsidRPr="00CE619C">
        <w:rPr>
          <w:rFonts w:ascii="Times New Roman" w:eastAsia="Times New Roman" w:hAnsi="Times New Roman" w:cs="Times New Roman"/>
          <w:sz w:val="24"/>
        </w:rPr>
        <w:t>of</w:t>
      </w:r>
      <w:r w:rsidRPr="008433C5">
        <w:rPr>
          <w:rFonts w:ascii="Times New Roman" w:eastAsia="Times New Roman" w:hAnsi="Times New Roman" w:cs="Times New Roman"/>
          <w:sz w:val="24"/>
        </w:rPr>
        <w:t xml:space="preserve"> Finance</w:t>
      </w:r>
      <w:r w:rsidR="001A78C9">
        <w:rPr>
          <w:rFonts w:ascii="Times New Roman" w:eastAsia="Times New Roman" w:hAnsi="Times New Roman" w:cs="Times New Roman"/>
          <w:sz w:val="24"/>
        </w:rPr>
        <w:t>,</w:t>
      </w:r>
      <w:r w:rsidRPr="008433C5">
        <w:rPr>
          <w:rFonts w:ascii="Times New Roman" w:eastAsia="Times New Roman" w:hAnsi="Times New Roman" w:cs="Times New Roman"/>
          <w:sz w:val="24"/>
        </w:rPr>
        <w:t xml:space="preserve"> 2024b).</w:t>
      </w:r>
    </w:p>
    <w:p w14:paraId="60495E65" w14:textId="77777777" w:rsidR="008433C5" w:rsidRPr="008433C5" w:rsidRDefault="008433C5" w:rsidP="008433C5">
      <w:pPr>
        <w:spacing w:after="0" w:line="360" w:lineRule="auto"/>
        <w:jc w:val="both"/>
        <w:rPr>
          <w:rFonts w:ascii="Times New Roman" w:eastAsia="Times New Roman" w:hAnsi="Times New Roman" w:cs="Times New Roman"/>
          <w:sz w:val="24"/>
        </w:rPr>
      </w:pPr>
    </w:p>
    <w:p w14:paraId="25CF407B" w14:textId="79B7296C" w:rsidR="008A23FE" w:rsidRDefault="008433C5" w:rsidP="008433C5">
      <w:pPr>
        <w:spacing w:after="0" w:line="360" w:lineRule="auto"/>
        <w:jc w:val="both"/>
        <w:rPr>
          <w:rFonts w:ascii="Times New Roman" w:eastAsia="Times New Roman" w:hAnsi="Times New Roman" w:cs="Times New Roman"/>
          <w:sz w:val="24"/>
        </w:rPr>
      </w:pPr>
      <w:r w:rsidRPr="008433C5">
        <w:rPr>
          <w:rFonts w:ascii="Times New Roman" w:eastAsia="Times New Roman" w:hAnsi="Times New Roman" w:cs="Times New Roman"/>
          <w:sz w:val="24"/>
        </w:rPr>
        <w:t>5) 2027-28: Create alternative private credit conduits. Build Islamic capital-market capacity at scale through the vehicles of SME equity funds, private credit funds, takaful-linked long-term savings and securitized asset pools. When state support is necessary, favour targeted credit guarantees and credit enhancement over directed lending.</w:t>
      </w:r>
    </w:p>
    <w:p w14:paraId="27E31FBF" w14:textId="77777777" w:rsidR="008433C5" w:rsidRDefault="008433C5" w:rsidP="008433C5">
      <w:pPr>
        <w:spacing w:after="0" w:line="360" w:lineRule="auto"/>
        <w:jc w:val="both"/>
        <w:rPr>
          <w:rFonts w:ascii="Times New Roman" w:eastAsia="Times New Roman" w:hAnsi="Times New Roman" w:cs="Times New Roman"/>
          <w:sz w:val="24"/>
        </w:rPr>
      </w:pPr>
    </w:p>
    <w:p w14:paraId="300372E4" w14:textId="77777777" w:rsidR="005417E5" w:rsidRDefault="005417E5" w:rsidP="008433C5">
      <w:pPr>
        <w:spacing w:after="0" w:line="360" w:lineRule="auto"/>
        <w:jc w:val="both"/>
        <w:rPr>
          <w:rFonts w:ascii="Times New Roman" w:eastAsia="Times New Roman" w:hAnsi="Times New Roman" w:cs="Times New Roman"/>
          <w:sz w:val="24"/>
        </w:rPr>
      </w:pPr>
    </w:p>
    <w:p w14:paraId="40473817" w14:textId="77777777" w:rsidR="005417E5" w:rsidRPr="00880AA9" w:rsidRDefault="005417E5" w:rsidP="008433C5">
      <w:pPr>
        <w:spacing w:after="0" w:line="360" w:lineRule="auto"/>
        <w:jc w:val="both"/>
        <w:rPr>
          <w:rFonts w:ascii="Times New Roman" w:eastAsia="Times New Roman" w:hAnsi="Times New Roman" w:cs="Times New Roman"/>
          <w:sz w:val="24"/>
        </w:rPr>
      </w:pPr>
    </w:p>
    <w:p w14:paraId="038DE315" w14:textId="754D5040" w:rsidR="008A23FE" w:rsidRP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Risks and mitigations</w:t>
      </w:r>
    </w:p>
    <w:p w14:paraId="74E29036" w14:textId="6709E196" w:rsidR="00104EA1" w:rsidRPr="00104EA1" w:rsidRDefault="00104EA1" w:rsidP="00104EA1">
      <w:pPr>
        <w:spacing w:after="0" w:line="360" w:lineRule="auto"/>
        <w:jc w:val="both"/>
        <w:rPr>
          <w:rFonts w:ascii="Times New Roman" w:eastAsia="Times New Roman" w:hAnsi="Times New Roman" w:cs="Times New Roman"/>
          <w:sz w:val="24"/>
        </w:rPr>
      </w:pPr>
      <w:r w:rsidRPr="00104EA1">
        <w:rPr>
          <w:rFonts w:ascii="Times New Roman" w:eastAsia="Times New Roman" w:hAnsi="Times New Roman" w:cs="Times New Roman"/>
          <w:sz w:val="24"/>
        </w:rPr>
        <w:t>Credit contraction is the most striking objection. The literature does make clear that narrow banking can generate stability–growth trade-offs if other intermediation is weak (Merkel</w:t>
      </w:r>
      <w:r w:rsidR="003824E4">
        <w:rPr>
          <w:rFonts w:ascii="Times New Roman" w:eastAsia="Times New Roman" w:hAnsi="Times New Roman" w:cs="Times New Roman"/>
          <w:sz w:val="24"/>
        </w:rPr>
        <w:t>,</w:t>
      </w:r>
      <w:r w:rsidRPr="00104EA1">
        <w:rPr>
          <w:rFonts w:ascii="Times New Roman" w:eastAsia="Times New Roman" w:hAnsi="Times New Roman" w:cs="Times New Roman"/>
          <w:sz w:val="24"/>
        </w:rPr>
        <w:t xml:space="preserve"> 2020). Pakistan can do this with sequencing: move transaction deposits out gradually while scaling investment products and non-bank intermediation; also, temporary liquidity facilities for solvent institutions without bringing back deposit-based money creation.</w:t>
      </w:r>
    </w:p>
    <w:p w14:paraId="32C3510B" w14:textId="77777777" w:rsidR="00104EA1" w:rsidRPr="00104EA1" w:rsidRDefault="00104EA1" w:rsidP="00104EA1">
      <w:pPr>
        <w:spacing w:after="0" w:line="360" w:lineRule="auto"/>
        <w:jc w:val="both"/>
        <w:rPr>
          <w:rFonts w:ascii="Times New Roman" w:eastAsia="Times New Roman" w:hAnsi="Times New Roman" w:cs="Times New Roman"/>
          <w:sz w:val="24"/>
        </w:rPr>
      </w:pPr>
    </w:p>
    <w:p w14:paraId="0A08DC5B" w14:textId="77777777" w:rsidR="00104EA1" w:rsidRPr="00104EA1" w:rsidRDefault="00104EA1" w:rsidP="00104EA1">
      <w:pPr>
        <w:spacing w:after="0" w:line="360" w:lineRule="auto"/>
        <w:jc w:val="both"/>
        <w:rPr>
          <w:rFonts w:ascii="Times New Roman" w:eastAsia="Times New Roman" w:hAnsi="Times New Roman" w:cs="Times New Roman"/>
          <w:sz w:val="24"/>
        </w:rPr>
      </w:pPr>
      <w:r w:rsidRPr="00104EA1">
        <w:rPr>
          <w:rFonts w:ascii="Times New Roman" w:eastAsia="Times New Roman" w:hAnsi="Times New Roman" w:cs="Times New Roman"/>
          <w:sz w:val="24"/>
        </w:rPr>
        <w:lastRenderedPageBreak/>
        <w:t>A second problem is politically motivated money issuance. In Pakistan’s political economy, that risk is very substantial. This is exactly why rule issuance, transparency and independent audits are critical design principles. Reform would make any monetary financing of deficits more visible and more constrained — not easier or less accountable.</w:t>
      </w:r>
    </w:p>
    <w:p w14:paraId="10FA3BDE" w14:textId="77777777" w:rsidR="00104EA1" w:rsidRPr="00104EA1" w:rsidRDefault="00104EA1" w:rsidP="00104EA1">
      <w:pPr>
        <w:spacing w:after="0" w:line="360" w:lineRule="auto"/>
        <w:jc w:val="both"/>
        <w:rPr>
          <w:rFonts w:ascii="Times New Roman" w:eastAsia="Times New Roman" w:hAnsi="Times New Roman" w:cs="Times New Roman"/>
          <w:sz w:val="24"/>
        </w:rPr>
      </w:pPr>
    </w:p>
    <w:p w14:paraId="6AD77EF3" w14:textId="375AAF2E" w:rsidR="00104EA1" w:rsidRPr="00104EA1" w:rsidRDefault="00104EA1" w:rsidP="00104EA1">
      <w:pPr>
        <w:spacing w:after="0" w:line="360" w:lineRule="auto"/>
        <w:jc w:val="both"/>
        <w:rPr>
          <w:rFonts w:ascii="Times New Roman" w:eastAsia="Times New Roman" w:hAnsi="Times New Roman" w:cs="Times New Roman"/>
          <w:sz w:val="24"/>
        </w:rPr>
      </w:pPr>
      <w:r w:rsidRPr="00104EA1">
        <w:rPr>
          <w:rFonts w:ascii="Times New Roman" w:eastAsia="Times New Roman" w:hAnsi="Times New Roman" w:cs="Times New Roman"/>
          <w:sz w:val="24"/>
        </w:rPr>
        <w:t xml:space="preserve">Finally, welfare effects are debated. Williamson (2024) finds that narrow banking may be welfare deteriorating under some regulation structures. For Pakistan, this is a warning: reform to payments needs to be accompanied by robust supervision of investment institutions, consumer protection and the development of markets; </w:t>
      </w:r>
      <w:r w:rsidR="00802B5B" w:rsidRPr="00104EA1">
        <w:rPr>
          <w:rFonts w:ascii="Times New Roman" w:eastAsia="Times New Roman" w:hAnsi="Times New Roman" w:cs="Times New Roman"/>
          <w:sz w:val="24"/>
        </w:rPr>
        <w:t>otherwise,</w:t>
      </w:r>
      <w:r w:rsidRPr="00104EA1">
        <w:rPr>
          <w:rFonts w:ascii="Times New Roman" w:eastAsia="Times New Roman" w:hAnsi="Times New Roman" w:cs="Times New Roman"/>
          <w:sz w:val="24"/>
        </w:rPr>
        <w:t xml:space="preserve"> risk may merely shift to less regulated areas.</w:t>
      </w:r>
    </w:p>
    <w:p w14:paraId="682E1F2B" w14:textId="77777777" w:rsidR="00104EA1" w:rsidRPr="00104EA1" w:rsidRDefault="00104EA1" w:rsidP="00104EA1">
      <w:pPr>
        <w:spacing w:after="0" w:line="360" w:lineRule="auto"/>
        <w:jc w:val="both"/>
        <w:rPr>
          <w:rFonts w:ascii="Times New Roman" w:eastAsia="Times New Roman" w:hAnsi="Times New Roman" w:cs="Times New Roman"/>
          <w:sz w:val="24"/>
        </w:rPr>
      </w:pPr>
    </w:p>
    <w:p w14:paraId="4C6EAE3B" w14:textId="77777777" w:rsidR="00104EA1" w:rsidRPr="00104EA1" w:rsidRDefault="00104EA1" w:rsidP="00104EA1">
      <w:pPr>
        <w:spacing w:after="0" w:line="360" w:lineRule="auto"/>
        <w:jc w:val="both"/>
        <w:rPr>
          <w:rFonts w:ascii="Times New Roman" w:eastAsia="Times New Roman" w:hAnsi="Times New Roman" w:cs="Times New Roman"/>
          <w:b/>
          <w:bCs/>
          <w:sz w:val="24"/>
        </w:rPr>
      </w:pPr>
      <w:r w:rsidRPr="00104EA1">
        <w:rPr>
          <w:rFonts w:ascii="Times New Roman" w:eastAsia="Times New Roman" w:hAnsi="Times New Roman" w:cs="Times New Roman"/>
          <w:b/>
          <w:bCs/>
          <w:sz w:val="24"/>
        </w:rPr>
        <w:t>Conclusion</w:t>
      </w:r>
    </w:p>
    <w:p w14:paraId="3478E72A" w14:textId="7279674C" w:rsidR="00104EA1" w:rsidRPr="00104EA1" w:rsidRDefault="00104EA1" w:rsidP="00104EA1">
      <w:pPr>
        <w:spacing w:after="0" w:line="360" w:lineRule="auto"/>
        <w:jc w:val="both"/>
        <w:rPr>
          <w:rFonts w:ascii="Times New Roman" w:eastAsia="Times New Roman" w:hAnsi="Times New Roman" w:cs="Times New Roman"/>
          <w:sz w:val="24"/>
        </w:rPr>
      </w:pPr>
      <w:r w:rsidRPr="00104EA1">
        <w:rPr>
          <w:rFonts w:ascii="Times New Roman" w:eastAsia="Times New Roman" w:hAnsi="Times New Roman" w:cs="Times New Roman"/>
          <w:sz w:val="24"/>
        </w:rPr>
        <w:t>The 2028 </w:t>
      </w:r>
      <w:r w:rsidR="00132B46" w:rsidRPr="00ED3E6A">
        <w:rPr>
          <w:rFonts w:ascii="Times New Roman" w:eastAsia="Times New Roman" w:hAnsi="Times New Roman" w:cs="Times New Roman"/>
          <w:i/>
          <w:iCs/>
          <w:sz w:val="24"/>
        </w:rPr>
        <w:t>Riba</w:t>
      </w:r>
      <w:r w:rsidRPr="00104EA1">
        <w:rPr>
          <w:rFonts w:ascii="Times New Roman" w:eastAsia="Times New Roman" w:hAnsi="Times New Roman" w:cs="Times New Roman"/>
          <w:sz w:val="24"/>
        </w:rPr>
        <w:t xml:space="preserve"> deadline is an ambitious deadline, but it is an opportunity to fashion the financial architecture of Pakistan in a manner that can anchor macro stability. A sovereign, transaction-driven, investment-funded regime—using full-reserve interest-free system consistent with risk-sharing ownership-based finance—offers a focused challenge to the structural relationship between debt accumulation and fiscal dominance as well as inflation persistence.</w:t>
      </w:r>
    </w:p>
    <w:p w14:paraId="1D4909E1" w14:textId="77777777" w:rsidR="00104EA1" w:rsidRPr="00104EA1" w:rsidRDefault="00104EA1" w:rsidP="00104EA1">
      <w:pPr>
        <w:spacing w:after="0" w:line="360" w:lineRule="auto"/>
        <w:jc w:val="both"/>
        <w:rPr>
          <w:rFonts w:ascii="Times New Roman" w:eastAsia="Times New Roman" w:hAnsi="Times New Roman" w:cs="Times New Roman"/>
          <w:sz w:val="24"/>
        </w:rPr>
      </w:pPr>
    </w:p>
    <w:p w14:paraId="7692188B" w14:textId="69429F7B" w:rsidR="008A23FE" w:rsidRDefault="00104EA1" w:rsidP="00104EA1">
      <w:pPr>
        <w:spacing w:after="0" w:line="360" w:lineRule="auto"/>
        <w:jc w:val="both"/>
        <w:rPr>
          <w:rFonts w:ascii="Times New Roman" w:eastAsia="Times New Roman" w:hAnsi="Times New Roman" w:cs="Times New Roman"/>
          <w:sz w:val="24"/>
        </w:rPr>
      </w:pPr>
      <w:r w:rsidRPr="00104EA1">
        <w:rPr>
          <w:rFonts w:ascii="Times New Roman" w:eastAsia="Times New Roman" w:hAnsi="Times New Roman" w:cs="Times New Roman"/>
          <w:sz w:val="24"/>
        </w:rPr>
        <w:t>This structure is not a substitute for tax reform or spending restraint. Instead, it may just make such reforms more sustainable by breaking the sovereign-bank and placing less reliance on runnable deposits for public debt financing while making monetary policy’s influence on the stable growth of transaction money more manifest. By treating the </w:t>
      </w:r>
      <w:r w:rsidR="00132B46" w:rsidRPr="00D41176">
        <w:rPr>
          <w:rFonts w:ascii="Times New Roman" w:eastAsia="Times New Roman" w:hAnsi="Times New Roman" w:cs="Times New Roman"/>
          <w:i/>
          <w:iCs/>
          <w:sz w:val="24"/>
        </w:rPr>
        <w:t>Riba</w:t>
      </w:r>
      <w:r w:rsidRPr="00104EA1">
        <w:rPr>
          <w:rFonts w:ascii="Times New Roman" w:eastAsia="Times New Roman" w:hAnsi="Times New Roman" w:cs="Times New Roman"/>
          <w:sz w:val="24"/>
        </w:rPr>
        <w:t xml:space="preserve"> transition as structural reform (rather than relabeling), Pakistan can take a step back from crisis management to settle macroeconomics on more permanent terms.</w:t>
      </w:r>
    </w:p>
    <w:p w14:paraId="2CCD8365" w14:textId="77777777" w:rsidR="005417E5" w:rsidRDefault="005417E5" w:rsidP="00880AA9">
      <w:pPr>
        <w:spacing w:after="0" w:line="360" w:lineRule="auto"/>
        <w:jc w:val="both"/>
        <w:rPr>
          <w:rFonts w:ascii="Times New Roman" w:eastAsia="Times New Roman" w:hAnsi="Times New Roman" w:cs="Times New Roman"/>
          <w:sz w:val="24"/>
        </w:rPr>
      </w:pPr>
    </w:p>
    <w:p w14:paraId="3EB4A703" w14:textId="073F91EA" w:rsidR="00880AA9" w:rsidRDefault="00880AA9" w:rsidP="00880AA9">
      <w:pPr>
        <w:spacing w:after="0" w:line="360" w:lineRule="auto"/>
        <w:jc w:val="both"/>
        <w:rPr>
          <w:rFonts w:ascii="Times New Roman" w:eastAsia="Times New Roman" w:hAnsi="Times New Roman" w:cs="Times New Roman"/>
          <w:b/>
          <w:bCs/>
          <w:sz w:val="24"/>
        </w:rPr>
      </w:pPr>
      <w:r w:rsidRPr="00880AA9">
        <w:rPr>
          <w:rFonts w:ascii="Times New Roman" w:eastAsia="Times New Roman" w:hAnsi="Times New Roman" w:cs="Times New Roman"/>
          <w:b/>
          <w:bCs/>
          <w:sz w:val="24"/>
        </w:rPr>
        <w:t>References</w:t>
      </w:r>
    </w:p>
    <w:p w14:paraId="516C49A9"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Basel Committee on Banking Supervision. (2023, October 5). Report on the 2023 banking turmoil. Bank for International Settlements. https://www.bis.org/bcbs/publ/d555.htm</w:t>
      </w:r>
    </w:p>
    <w:p w14:paraId="4252B3E2"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79CBB69F" w14:textId="39666425"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Benes, J., &amp; Kumhof, M. (2012). The Chicago Plan revisited (IMF Working Paper No. 12/202). International Monetary Fund.</w:t>
      </w:r>
      <w:r>
        <w:rPr>
          <w:rFonts w:ascii="Times New Roman" w:eastAsia="Times New Roman" w:hAnsi="Times New Roman" w:cs="Times New Roman"/>
          <w:sz w:val="24"/>
        </w:rPr>
        <w:t xml:space="preserve"> </w:t>
      </w:r>
      <w:r w:rsidRPr="00CE619C">
        <w:rPr>
          <w:rFonts w:ascii="Times New Roman" w:eastAsia="Times New Roman" w:hAnsi="Times New Roman" w:cs="Times New Roman"/>
          <w:sz w:val="24"/>
        </w:rPr>
        <w:t>https://www.imf.org/external/pubs/ft/wp/2012/wp12202.pdf</w:t>
      </w:r>
    </w:p>
    <w:p w14:paraId="1729E395"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3D0C7B4F"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Financial Stability Board. (2024, October 23). Depositor behaviour and interest rate and liquidity risks in the financial system: Lessons from the March 2023 banking turmoil. https://www.fsb.org/uploads/P231024.pdf</w:t>
      </w:r>
    </w:p>
    <w:p w14:paraId="22E357AC"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06A73063"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Geo News. (2024, October 20). 26th amendment sets Jan 2028 deadline to end Riba, paves way for interest-free banking. https://www.geo.tv/latest/571127-26th-amendment-sets-jan-2028-deadline-to-end-riba-paves-way-for-interest-free-banking</w:t>
      </w:r>
    </w:p>
    <w:p w14:paraId="56F803B4"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03B30402"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International Monetary Fund. (2024). Pakistan: Selected issues (IMF Country Report No. 24/311). https://www.imf.org/external/pubs/ft/scr/2024/cr24311.pdf</w:t>
      </w:r>
    </w:p>
    <w:p w14:paraId="05AD7E9F"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6BDF4E95"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Khalilullah, Q. (2024, May 9). Full reserve banking: Part I. The News International. https://www.thenews.com.pk/print/1186773-full-reserve-banking-part-i</w:t>
      </w:r>
    </w:p>
    <w:p w14:paraId="70D6AC80"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76A4ACCC"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Kundi, M. (2024, February 16). Pakistan’s huge debt servicing problem can be resolved through full reserve banking: Experts. The Nation. https://www.nation.com.pk/16-Feb-2024/pakistan-s-huge-debt-servicing-problem-can-be-resolved-through-full-reserve-banking-experts</w:t>
      </w:r>
    </w:p>
    <w:p w14:paraId="26860985"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7F27ED15"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McLeay, M., Radia, A., &amp; Thomas, R. (2014). Money creation in the modern economy. Bank of England Quarterly Bulletin, 54(1), 14–27. https://www.bankofengland.co.uk/-/media/boe/files/quarterly-bulletin/2014/money-creation-in-the-modern-economy.pdf</w:t>
      </w:r>
    </w:p>
    <w:p w14:paraId="39BF408E"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791C6039"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Merkel, S. (2020, November 12). The macro implications of narrow banking: Financial stability versus growth (Working paper). Princeton University. https://sites.google.com/view/smerkel/research</w:t>
      </w:r>
    </w:p>
    <w:p w14:paraId="50A46657"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4DF6E65B"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Ministry of Finance. (2024a). Annual debt review &amp; public debt bulletin (FY 2023–24). Government of Pakistan. https://www.finance.gov.pk/dpco/Annual_Debt_Review_FY24.pdf</w:t>
      </w:r>
    </w:p>
    <w:p w14:paraId="13F0073B"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7A52118F"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Ministry of Finance. (2024b). Debt policy statement 2024. Government of Pakistan. https://www.finance.gov.pk/publications/DPS_2024.pdf</w:t>
      </w:r>
    </w:p>
    <w:p w14:paraId="3978A4D1"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679D6185" w14:textId="31513D4A" w:rsidR="005647CA" w:rsidRPr="005647CA" w:rsidRDefault="005647CA" w:rsidP="005647CA">
      <w:pPr>
        <w:spacing w:after="0" w:line="360" w:lineRule="auto"/>
        <w:jc w:val="both"/>
        <w:rPr>
          <w:rFonts w:ascii="Times New Roman" w:eastAsia="Times New Roman" w:hAnsi="Times New Roman" w:cs="Times New Roman"/>
          <w:sz w:val="24"/>
        </w:rPr>
      </w:pPr>
      <w:r w:rsidRPr="005647CA">
        <w:rPr>
          <w:rFonts w:ascii="Times New Roman" w:eastAsia="Times New Roman" w:hAnsi="Times New Roman" w:cs="Times New Roman"/>
          <w:sz w:val="24"/>
        </w:rPr>
        <w:t>Reuters. (2024a, May 30). Pakistan aims to secure $4 billion in financing from Middle Eastern banks.</w:t>
      </w:r>
      <w:r>
        <w:rPr>
          <w:rFonts w:ascii="Times New Roman" w:eastAsia="Times New Roman" w:hAnsi="Times New Roman" w:cs="Times New Roman"/>
          <w:sz w:val="24"/>
        </w:rPr>
        <w:t xml:space="preserve"> </w:t>
      </w:r>
      <w:r w:rsidRPr="005647CA">
        <w:rPr>
          <w:rFonts w:ascii="Times New Roman" w:eastAsia="Times New Roman" w:hAnsi="Times New Roman" w:cs="Times New Roman"/>
          <w:sz w:val="24"/>
        </w:rPr>
        <w:t>https://www.reuters.com/world/asia-pacific/pakistan-aims-secure-4-billion-financing-middle-eastern-banks-2024-05-30/</w:t>
      </w:r>
    </w:p>
    <w:p w14:paraId="1BB319D7" w14:textId="77777777" w:rsidR="005647CA" w:rsidRPr="005647CA" w:rsidRDefault="005647CA" w:rsidP="005647CA">
      <w:pPr>
        <w:spacing w:after="0" w:line="360" w:lineRule="auto"/>
        <w:jc w:val="both"/>
        <w:rPr>
          <w:rFonts w:ascii="Times New Roman" w:eastAsia="Times New Roman" w:hAnsi="Times New Roman" w:cs="Times New Roman"/>
          <w:sz w:val="24"/>
        </w:rPr>
      </w:pPr>
    </w:p>
    <w:p w14:paraId="16A68565" w14:textId="14A913A8" w:rsidR="00CE619C" w:rsidRPr="00CE619C" w:rsidRDefault="005647CA" w:rsidP="005647CA">
      <w:pPr>
        <w:spacing w:after="0" w:line="360" w:lineRule="auto"/>
        <w:jc w:val="both"/>
        <w:rPr>
          <w:rFonts w:ascii="Times New Roman" w:eastAsia="Times New Roman" w:hAnsi="Times New Roman" w:cs="Times New Roman"/>
          <w:sz w:val="24"/>
        </w:rPr>
      </w:pPr>
      <w:r w:rsidRPr="005647CA">
        <w:rPr>
          <w:rFonts w:ascii="Times New Roman" w:eastAsia="Times New Roman" w:hAnsi="Times New Roman" w:cs="Times New Roman"/>
          <w:sz w:val="24"/>
        </w:rPr>
        <w:t>Reuters. (2024b, October 17). Pakistan considers Islamic financing facility to address circular debt, targets interest-free system by 2028. https://www.reuters.com/world/asia-pacific/pakistan-considers-islamic-financing-facility-address-circular-debt-2024-10-17/</w:t>
      </w:r>
    </w:p>
    <w:p w14:paraId="5056D2FC" w14:textId="77777777" w:rsidR="005647CA" w:rsidRDefault="005647CA" w:rsidP="00CE619C">
      <w:pPr>
        <w:spacing w:after="0" w:line="360" w:lineRule="auto"/>
        <w:jc w:val="both"/>
        <w:rPr>
          <w:rFonts w:ascii="Times New Roman" w:eastAsia="Times New Roman" w:hAnsi="Times New Roman" w:cs="Times New Roman"/>
          <w:sz w:val="24"/>
        </w:rPr>
      </w:pPr>
    </w:p>
    <w:p w14:paraId="0D582586" w14:textId="3563CA5B" w:rsid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 xml:space="preserve">State Bank of Pakistan. (2022). Financial stability review 2022. </w:t>
      </w:r>
      <w:hyperlink r:id="rId5" w:history="1">
        <w:r w:rsidR="00E67C85" w:rsidRPr="006C7133">
          <w:rPr>
            <w:rStyle w:val="Hyperlink"/>
            <w:rFonts w:ascii="Times New Roman" w:eastAsia="Times New Roman" w:hAnsi="Times New Roman" w:cs="Times New Roman"/>
            <w:sz w:val="24"/>
          </w:rPr>
          <w:t>https://www.sbp.org.pk/FSR/2022/index.html</w:t>
        </w:r>
      </w:hyperlink>
    </w:p>
    <w:p w14:paraId="504561C0" w14:textId="77777777" w:rsidR="00E67C85" w:rsidRPr="00CE619C" w:rsidRDefault="00E67C85" w:rsidP="00CE619C">
      <w:pPr>
        <w:spacing w:after="0" w:line="360" w:lineRule="auto"/>
        <w:jc w:val="both"/>
        <w:rPr>
          <w:rFonts w:ascii="Times New Roman" w:eastAsia="Times New Roman" w:hAnsi="Times New Roman" w:cs="Times New Roman"/>
          <w:sz w:val="24"/>
        </w:rPr>
      </w:pPr>
    </w:p>
    <w:p w14:paraId="00AA722E" w14:textId="77777777" w:rsidR="00271227" w:rsidRPr="00271227" w:rsidRDefault="00271227" w:rsidP="00271227">
      <w:pPr>
        <w:spacing w:after="0" w:line="360" w:lineRule="auto"/>
        <w:jc w:val="both"/>
        <w:rPr>
          <w:rFonts w:ascii="Times New Roman" w:eastAsia="Times New Roman" w:hAnsi="Times New Roman" w:cs="Times New Roman"/>
          <w:sz w:val="24"/>
        </w:rPr>
      </w:pPr>
      <w:r w:rsidRPr="00271227">
        <w:rPr>
          <w:rFonts w:ascii="Times New Roman" w:eastAsia="Times New Roman" w:hAnsi="Times New Roman" w:cs="Times New Roman"/>
          <w:sz w:val="24"/>
        </w:rPr>
        <w:t xml:space="preserve">The Express Tribune. (2024, October 21). 26th amendment mandates elimination of riba by 2028. </w:t>
      </w:r>
    </w:p>
    <w:p w14:paraId="6A9CF343" w14:textId="13059232" w:rsidR="00E67C85" w:rsidRDefault="00271227" w:rsidP="00271227">
      <w:pPr>
        <w:spacing w:after="0" w:line="360" w:lineRule="auto"/>
        <w:jc w:val="both"/>
        <w:rPr>
          <w:rFonts w:ascii="Times New Roman" w:eastAsia="Times New Roman" w:hAnsi="Times New Roman" w:cs="Times New Roman"/>
          <w:sz w:val="24"/>
        </w:rPr>
      </w:pPr>
      <w:hyperlink r:id="rId6" w:history="1">
        <w:r w:rsidRPr="006C7133">
          <w:rPr>
            <w:rStyle w:val="Hyperlink"/>
            <w:rFonts w:ascii="Times New Roman" w:eastAsia="Times New Roman" w:hAnsi="Times New Roman" w:cs="Times New Roman"/>
            <w:sz w:val="24"/>
          </w:rPr>
          <w:t>https://tribune.com.pk/story/2502066/26th-constitutional-amendment-sets-january-2028-deadline-for-elimination-of-riba</w:t>
        </w:r>
      </w:hyperlink>
    </w:p>
    <w:p w14:paraId="0A44054B" w14:textId="77777777" w:rsidR="00271227" w:rsidRPr="00CE619C" w:rsidRDefault="00271227" w:rsidP="00271227">
      <w:pPr>
        <w:spacing w:after="0" w:line="360" w:lineRule="auto"/>
        <w:jc w:val="both"/>
        <w:rPr>
          <w:rFonts w:ascii="Times New Roman" w:eastAsia="Times New Roman" w:hAnsi="Times New Roman" w:cs="Times New Roman"/>
          <w:sz w:val="24"/>
        </w:rPr>
      </w:pPr>
    </w:p>
    <w:p w14:paraId="6E1C13D5" w14:textId="77777777"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Williamson, S. D. (2024). Deposit insurance, bank regulation, and narrow banking. Journal of Economic Theory, 214, 105750. https://www.sciencedirect.com/science/article/pii/S002205312400064X</w:t>
      </w:r>
    </w:p>
    <w:p w14:paraId="4631CBB0" w14:textId="77777777" w:rsidR="00CE619C" w:rsidRPr="00CE619C" w:rsidRDefault="00CE619C" w:rsidP="00CE619C">
      <w:pPr>
        <w:spacing w:after="0" w:line="360" w:lineRule="auto"/>
        <w:jc w:val="both"/>
        <w:rPr>
          <w:rFonts w:ascii="Times New Roman" w:eastAsia="Times New Roman" w:hAnsi="Times New Roman" w:cs="Times New Roman"/>
          <w:sz w:val="24"/>
        </w:rPr>
      </w:pPr>
    </w:p>
    <w:p w14:paraId="7A41AD5B" w14:textId="7F5FFBC5" w:rsidR="00CE619C" w:rsidRPr="00CE619C" w:rsidRDefault="00CE619C" w:rsidP="00CE619C">
      <w:pPr>
        <w:spacing w:after="0" w:line="360" w:lineRule="auto"/>
        <w:jc w:val="both"/>
        <w:rPr>
          <w:rFonts w:ascii="Times New Roman" w:eastAsia="Times New Roman" w:hAnsi="Times New Roman" w:cs="Times New Roman"/>
          <w:sz w:val="24"/>
        </w:rPr>
      </w:pPr>
      <w:r w:rsidRPr="00CE619C">
        <w:rPr>
          <w:rFonts w:ascii="Times New Roman" w:eastAsia="Times New Roman" w:hAnsi="Times New Roman" w:cs="Times New Roman"/>
          <w:sz w:val="24"/>
        </w:rPr>
        <w:t>World Bank. (2023, October). Pakistan development update: Restoring fiscal sustainability. https://thedocs.worldbank.org/en/doc/5861831fb951de6c8c378b8adb82bf16-0310062023/original/Pakistan-Development-Update-October-2023.pdf</w:t>
      </w:r>
    </w:p>
    <w:p w14:paraId="126E7E0B" w14:textId="77777777" w:rsidR="00CD5C4C" w:rsidRDefault="00CD5C4C"/>
    <w:sectPr w:rsidR="00CD5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617B1E"/>
    <w:multiLevelType w:val="hybridMultilevel"/>
    <w:tmpl w:val="D13A5C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1388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3"/>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5A"/>
    <w:rsid w:val="00040AA4"/>
    <w:rsid w:val="0005730A"/>
    <w:rsid w:val="000B0A75"/>
    <w:rsid w:val="000D1FE3"/>
    <w:rsid w:val="000D3AAB"/>
    <w:rsid w:val="000D50CD"/>
    <w:rsid w:val="000D6963"/>
    <w:rsid w:val="000E1A10"/>
    <w:rsid w:val="000F5B7E"/>
    <w:rsid w:val="00104EA1"/>
    <w:rsid w:val="00132B46"/>
    <w:rsid w:val="00155971"/>
    <w:rsid w:val="00163D97"/>
    <w:rsid w:val="001A065A"/>
    <w:rsid w:val="001A78C9"/>
    <w:rsid w:val="0022290B"/>
    <w:rsid w:val="00225F8E"/>
    <w:rsid w:val="00271227"/>
    <w:rsid w:val="002758CC"/>
    <w:rsid w:val="00276B31"/>
    <w:rsid w:val="002A5312"/>
    <w:rsid w:val="002C2DC2"/>
    <w:rsid w:val="002C58C6"/>
    <w:rsid w:val="0033395A"/>
    <w:rsid w:val="0034089B"/>
    <w:rsid w:val="0034125A"/>
    <w:rsid w:val="00352A85"/>
    <w:rsid w:val="003824E4"/>
    <w:rsid w:val="00394B43"/>
    <w:rsid w:val="003A4760"/>
    <w:rsid w:val="0041360F"/>
    <w:rsid w:val="00437AE4"/>
    <w:rsid w:val="004B4AA7"/>
    <w:rsid w:val="004D1F73"/>
    <w:rsid w:val="004F63BF"/>
    <w:rsid w:val="0051382A"/>
    <w:rsid w:val="00536676"/>
    <w:rsid w:val="005417E5"/>
    <w:rsid w:val="0055367C"/>
    <w:rsid w:val="005647CA"/>
    <w:rsid w:val="00576B79"/>
    <w:rsid w:val="005E7B2A"/>
    <w:rsid w:val="005F0D26"/>
    <w:rsid w:val="006115FE"/>
    <w:rsid w:val="00696B10"/>
    <w:rsid w:val="00697212"/>
    <w:rsid w:val="00731E3A"/>
    <w:rsid w:val="0078193D"/>
    <w:rsid w:val="007918E8"/>
    <w:rsid w:val="007A340C"/>
    <w:rsid w:val="007F3D77"/>
    <w:rsid w:val="00802B5B"/>
    <w:rsid w:val="008433C5"/>
    <w:rsid w:val="00852D99"/>
    <w:rsid w:val="00877BB0"/>
    <w:rsid w:val="00880AA9"/>
    <w:rsid w:val="008876A2"/>
    <w:rsid w:val="008A23FE"/>
    <w:rsid w:val="008B14A7"/>
    <w:rsid w:val="008C25BE"/>
    <w:rsid w:val="008C3B8B"/>
    <w:rsid w:val="008E69AA"/>
    <w:rsid w:val="00930B64"/>
    <w:rsid w:val="00975164"/>
    <w:rsid w:val="009856D4"/>
    <w:rsid w:val="00997CB7"/>
    <w:rsid w:val="00A0622E"/>
    <w:rsid w:val="00A07D7E"/>
    <w:rsid w:val="00A30FDD"/>
    <w:rsid w:val="00A37D95"/>
    <w:rsid w:val="00B45D19"/>
    <w:rsid w:val="00B83C53"/>
    <w:rsid w:val="00BC4060"/>
    <w:rsid w:val="00BC6C7C"/>
    <w:rsid w:val="00BD68BB"/>
    <w:rsid w:val="00C32CD9"/>
    <w:rsid w:val="00CA55D8"/>
    <w:rsid w:val="00CD5C4C"/>
    <w:rsid w:val="00CE619C"/>
    <w:rsid w:val="00CF6A48"/>
    <w:rsid w:val="00D3463B"/>
    <w:rsid w:val="00D41176"/>
    <w:rsid w:val="00DF09F4"/>
    <w:rsid w:val="00E101BF"/>
    <w:rsid w:val="00E2741A"/>
    <w:rsid w:val="00E40509"/>
    <w:rsid w:val="00E61DDF"/>
    <w:rsid w:val="00E67C85"/>
    <w:rsid w:val="00E87C63"/>
    <w:rsid w:val="00E95440"/>
    <w:rsid w:val="00ED3E6A"/>
    <w:rsid w:val="00F0336B"/>
    <w:rsid w:val="00F10F99"/>
    <w:rsid w:val="00F4340D"/>
    <w:rsid w:val="00FB7DD5"/>
    <w:rsid w:val="00FC1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120D"/>
  <w15:chartTrackingRefBased/>
  <w15:docId w15:val="{1DE91132-1D29-4B0A-9D83-BDB295E6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95A"/>
  </w:style>
  <w:style w:type="paragraph" w:styleId="Heading1">
    <w:name w:val="heading 1"/>
    <w:basedOn w:val="Normal"/>
    <w:next w:val="Normal"/>
    <w:link w:val="Heading1Char"/>
    <w:uiPriority w:val="9"/>
    <w:qFormat/>
    <w:rsid w:val="0033395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3395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3395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3395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3395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339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9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9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9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95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3395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3395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3395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3395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33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95A"/>
    <w:rPr>
      <w:rFonts w:eastAsiaTheme="majorEastAsia" w:cstheme="majorBidi"/>
      <w:color w:val="272727" w:themeColor="text1" w:themeTint="D8"/>
    </w:rPr>
  </w:style>
  <w:style w:type="paragraph" w:styleId="Title">
    <w:name w:val="Title"/>
    <w:basedOn w:val="Normal"/>
    <w:next w:val="Normal"/>
    <w:link w:val="TitleChar"/>
    <w:uiPriority w:val="10"/>
    <w:qFormat/>
    <w:rsid w:val="00333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9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95A"/>
    <w:pPr>
      <w:spacing w:before="160"/>
      <w:jc w:val="center"/>
    </w:pPr>
    <w:rPr>
      <w:i/>
      <w:iCs/>
      <w:color w:val="404040" w:themeColor="text1" w:themeTint="BF"/>
    </w:rPr>
  </w:style>
  <w:style w:type="character" w:customStyle="1" w:styleId="QuoteChar">
    <w:name w:val="Quote Char"/>
    <w:basedOn w:val="DefaultParagraphFont"/>
    <w:link w:val="Quote"/>
    <w:uiPriority w:val="29"/>
    <w:rsid w:val="0033395A"/>
    <w:rPr>
      <w:i/>
      <w:iCs/>
      <w:color w:val="404040" w:themeColor="text1" w:themeTint="BF"/>
    </w:rPr>
  </w:style>
  <w:style w:type="paragraph" w:styleId="ListParagraph">
    <w:name w:val="List Paragraph"/>
    <w:basedOn w:val="Normal"/>
    <w:uiPriority w:val="34"/>
    <w:qFormat/>
    <w:rsid w:val="0033395A"/>
    <w:pPr>
      <w:ind w:left="720"/>
      <w:contextualSpacing/>
    </w:pPr>
  </w:style>
  <w:style w:type="character" w:styleId="IntenseEmphasis">
    <w:name w:val="Intense Emphasis"/>
    <w:basedOn w:val="DefaultParagraphFont"/>
    <w:uiPriority w:val="21"/>
    <w:qFormat/>
    <w:rsid w:val="0033395A"/>
    <w:rPr>
      <w:i/>
      <w:iCs/>
      <w:color w:val="2E74B5" w:themeColor="accent1" w:themeShade="BF"/>
    </w:rPr>
  </w:style>
  <w:style w:type="paragraph" w:styleId="IntenseQuote">
    <w:name w:val="Intense Quote"/>
    <w:basedOn w:val="Normal"/>
    <w:next w:val="Normal"/>
    <w:link w:val="IntenseQuoteChar"/>
    <w:uiPriority w:val="30"/>
    <w:qFormat/>
    <w:rsid w:val="003339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3395A"/>
    <w:rPr>
      <w:i/>
      <w:iCs/>
      <w:color w:val="2E74B5" w:themeColor="accent1" w:themeShade="BF"/>
    </w:rPr>
  </w:style>
  <w:style w:type="character" w:styleId="IntenseReference">
    <w:name w:val="Intense Reference"/>
    <w:basedOn w:val="DefaultParagraphFont"/>
    <w:uiPriority w:val="32"/>
    <w:qFormat/>
    <w:rsid w:val="0033395A"/>
    <w:rPr>
      <w:b/>
      <w:bCs/>
      <w:smallCaps/>
      <w:color w:val="2E74B5" w:themeColor="accent1" w:themeShade="BF"/>
      <w:spacing w:val="5"/>
    </w:rPr>
  </w:style>
  <w:style w:type="character" w:styleId="Hyperlink">
    <w:name w:val="Hyperlink"/>
    <w:basedOn w:val="DefaultParagraphFont"/>
    <w:uiPriority w:val="99"/>
    <w:unhideWhenUsed/>
    <w:rsid w:val="00E67C85"/>
    <w:rPr>
      <w:color w:val="0563C1" w:themeColor="hyperlink"/>
      <w:u w:val="single"/>
    </w:rPr>
  </w:style>
  <w:style w:type="character" w:styleId="UnresolvedMention">
    <w:name w:val="Unresolved Mention"/>
    <w:basedOn w:val="DefaultParagraphFont"/>
    <w:uiPriority w:val="99"/>
    <w:semiHidden/>
    <w:unhideWhenUsed/>
    <w:rsid w:val="00E67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5562">
      <w:bodyDiv w:val="1"/>
      <w:marLeft w:val="0"/>
      <w:marRight w:val="0"/>
      <w:marTop w:val="0"/>
      <w:marBottom w:val="0"/>
      <w:divBdr>
        <w:top w:val="none" w:sz="0" w:space="0" w:color="auto"/>
        <w:left w:val="none" w:sz="0" w:space="0" w:color="auto"/>
        <w:bottom w:val="none" w:sz="0" w:space="0" w:color="auto"/>
        <w:right w:val="none" w:sz="0" w:space="0" w:color="auto"/>
      </w:divBdr>
    </w:div>
    <w:div w:id="473110976">
      <w:bodyDiv w:val="1"/>
      <w:marLeft w:val="0"/>
      <w:marRight w:val="0"/>
      <w:marTop w:val="0"/>
      <w:marBottom w:val="0"/>
      <w:divBdr>
        <w:top w:val="none" w:sz="0" w:space="0" w:color="auto"/>
        <w:left w:val="none" w:sz="0" w:space="0" w:color="auto"/>
        <w:bottom w:val="none" w:sz="0" w:space="0" w:color="auto"/>
        <w:right w:val="none" w:sz="0" w:space="0" w:color="auto"/>
      </w:divBdr>
    </w:div>
    <w:div w:id="494883260">
      <w:bodyDiv w:val="1"/>
      <w:marLeft w:val="0"/>
      <w:marRight w:val="0"/>
      <w:marTop w:val="0"/>
      <w:marBottom w:val="0"/>
      <w:divBdr>
        <w:top w:val="none" w:sz="0" w:space="0" w:color="auto"/>
        <w:left w:val="none" w:sz="0" w:space="0" w:color="auto"/>
        <w:bottom w:val="none" w:sz="0" w:space="0" w:color="auto"/>
        <w:right w:val="none" w:sz="0" w:space="0" w:color="auto"/>
      </w:divBdr>
    </w:div>
    <w:div w:id="99433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tribune.com.pk/story/2502066/26th-constitutional-amendment-sets-january-2028-deadline-for-elimination-of-riba" TargetMode="External" /><Relationship Id="rId5" Type="http://schemas.openxmlformats.org/officeDocument/2006/relationships/hyperlink" Target="https://www.sbp.org.pk/FSR/2022/index.html"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3087</Words>
  <Characters>17599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jawwad Khan</dc:creator>
  <cp:keywords/>
  <dc:description/>
  <cp:lastModifiedBy>jawwadkhanms@gmail.com</cp:lastModifiedBy>
  <cp:revision>2</cp:revision>
  <dcterms:created xsi:type="dcterms:W3CDTF">2026-01-02T21:21:00Z</dcterms:created>
  <dcterms:modified xsi:type="dcterms:W3CDTF">2026-01-02T21:21:00Z</dcterms:modified>
</cp:coreProperties>
</file>