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b/>
          <w:bCs/>
        </w:rPr>
      </w:pPr>
      <w:bookmarkStart w:id="0" w:name="_GoBack"/>
      <w:bookmarkEnd w:id="0"/>
      <w:r>
        <w:rPr>
          <w:b/>
          <w:bCs/>
        </w:rPr>
        <w:t>Reimagining Pakistan's Fiscal Future: The Case for a Mandatory Zakat-Based Wealth Tax as the Foundation of Public Finance</w:t>
      </w:r>
    </w:p>
    <w:p>
      <w:pPr>
        <w:pStyle w:val="style0"/>
        <w:rPr/>
      </w:pPr>
      <w:r>
        <w:t>Pakistan’s persistent fiscal crisis, marked by one of the world’s lowest tax-to-GDP ratios, is fundamentally a crisis of design and legitimacy. The current system relies overwhelmingly on regressive indirect taxes, which place a disproportionate burden on the poor and middle class while failing to adequately tap latent wealth (Pasha, 2023). This structure is not merely inefficient; it operates as a tool of extraction, perpetuating inequality and eroding the social contract, thereby embodying the economic injustice, or zulm, that Islamic principles seek to abolish. This paradigm necessitates a radical reformation, moving from an exploitative model to one rooted in compulsory, divinely mandated distributive justice: the institutionalisation of Zakat as the primary pillar of public finance.</w:t>
      </w:r>
    </w:p>
    <w:p>
      <w:pPr>
        <w:pStyle w:val="style0"/>
        <w:rPr/>
      </w:pPr>
      <w:r>
        <w:t>Theologically and historically, Zakat is not voluntary charity but a compulsory levy, a right (haqq) of the poor upon the wealth of the rich, to be administered by the state (Al-Ghazali, c. 1100/1998). Classical scholars, from Abu Ubayd (d. 838) in Kitab al-Amwal to Al-Ghazali, emphasised its role as a social and economic stabiliser. The historical precedent of Caliph Umar ibn al-Khattab’s administration, as documented by Abu Yusuf (c. 798/1969), demonstrates its viability as the cornerstone of the public treasury (Bayt al-Mal), financing comprehensive welfare and infrastructure without recourse to interest-based debt. Modern Islamic economists like Chapra (1992) and Kahf (1989) have further articulated this model, arguing that Zakat mobilises idle wealth, acts as an automatic stabiliser, and, with its fixed rate and exemption threshold (nisab), provides a predictable and progressive alternative to complex, discretionary tax codes.</w:t>
      </w:r>
    </w:p>
    <w:p>
      <w:pPr>
        <w:pStyle w:val="style0"/>
        <w:rPr/>
      </w:pPr>
      <w:r>
        <w:t>Implementing this model requires a phased, systematic overhaul of Pakistan's fiscal architecture. The Zakat base must be comprehensively broadened through modern assessment, applying the 2.5% rate not only to traditional savings but to all forms of liquid and capital wealth, including stocks, bonds, investment real estate, and corporate retained earnings, guided by contemporary fiqh scholarship such as that of Usmani (2002). This could be integrated with a simplified, minimal tax on economic activity, such as an Ushr on production, creating a streamlined, dual-pillar system. The transformative potential, however, lies in the mandated expenditures (masarif). Redirecting Zakat funds from mere consumption subsidies to direct capital grants, universal basic services, and productive public infrastructure—legitimately falling under fi sabil illah (in the cause of God)—would convert recipients into productive stakeholders and fuel broad-based economic growth (Islamic Research and Training Institute [IRTI], 2015).</w:t>
      </w:r>
    </w:p>
    <w:p>
      <w:pPr>
        <w:pStyle w:val="style0"/>
        <w:rPr/>
      </w:pPr>
    </w:p>
    <w:p>
      <w:pPr>
        <w:pStyle w:val="style0"/>
        <w:rPr/>
      </w:pPr>
      <w:r>
        <w:t>Addressing practical objections is crucial to this proposal. Concerns regarding the sufficiency of a 2.5% rate are answered by the expansion of the base; a comprehensive levy on Pakistan’s significant private wealth, alongside complementary revenue streams, promises robust yields with lower administrative costs and evasion. Furthermore, integration into the global economy remains feasible, as demonstrated by the global standardisation of Islamic finance by bodies like the Accounting and Auditing Organization for Islamic Financial Institutions (AAOIFI) and the successful use of instruments like Sukuk for international infrastructure projects. The transition would position Pakistan as a hub for ethical investment.</w:t>
      </w:r>
    </w:p>
    <w:p>
      <w:pPr>
        <w:pStyle w:val="style0"/>
        <w:rPr/>
      </w:pPr>
    </w:p>
    <w:p>
      <w:pPr>
        <w:pStyle w:val="style0"/>
        <w:rPr/>
      </w:pPr>
      <w:r>
        <w:t>In conclusion, adopting a mandatory Zakat-based wealth tax represents more than a fiscal adjustment; it is a civilisational realignment towards justice (‘adl) and welfare (falah). This model dismantles the debt-fueled, extractive status quo and replaces it with a system that aligns economic incentives with social obligation, fosters capital formation among the poor, and roots national sovereignty in fiscal autonomy. By synthesising divine injunction with economic rationality, as envisioned by thinkers like Allama Iqbal, Pakistan can forge a covenant of justice and build a truly prosperous, equitable commonwealth.</w:t>
      </w:r>
    </w:p>
    <w:p>
      <w:pPr>
        <w:pStyle w:val="style0"/>
        <w:rPr/>
      </w:pPr>
      <w:r>
        <w:t>References</w:t>
      </w:r>
    </w:p>
    <w:p>
      <w:pPr>
        <w:pStyle w:val="style0"/>
        <w:rPr/>
      </w:pPr>
    </w:p>
    <w:p>
      <w:pPr>
        <w:pStyle w:val="style0"/>
        <w:rPr/>
      </w:pPr>
      <w:r>
        <w:t>Abu Yusuf, Y. I. (1969). Kitab al-Kharaj [The book of land tax]. Dar al-Ma‘rifah. (Original work published c. 798 CE)</w:t>
      </w:r>
    </w:p>
    <w:p>
      <w:pPr>
        <w:pStyle w:val="style0"/>
        <w:rPr/>
      </w:pPr>
      <w:r>
        <w:t>Al-Ghazali, A. H. (1998). Ihya Ulum al-Din [The revival of the religious sciences] (Vol. 1). Islamic Book Trust. (Original work published c. 1100 CE)</w:t>
      </w:r>
    </w:p>
    <w:p>
      <w:pPr>
        <w:pStyle w:val="style0"/>
        <w:rPr/>
      </w:pPr>
      <w:r>
        <w:t>Chapra, M. U. (1992). Islam and the economic challenge. The Islamic Foundation.</w:t>
      </w:r>
    </w:p>
    <w:p>
      <w:pPr>
        <w:pStyle w:val="style0"/>
        <w:rPr/>
      </w:pPr>
      <w:r>
        <w:t>Islamic Research and Training Institute. (2015). The role of Zakat in reducing poverty and inequality. Islamic Development Bank Group.</w:t>
      </w:r>
    </w:p>
    <w:p>
      <w:pPr>
        <w:pStyle w:val="style0"/>
        <w:rPr/>
      </w:pPr>
      <w:r>
        <w:t>Kahf, M. (1989). Zakat: Unresolved issues in the contemporary fiqh. Journal of Islamic Economics, 2(1), 1–22.</w:t>
      </w:r>
    </w:p>
    <w:p>
      <w:pPr>
        <w:pStyle w:val="style0"/>
        <w:rPr/>
      </w:pPr>
      <w:r>
        <w:t>Pasha, H. A. (2023). Pakistan’s economic crisis: Origins and consequences. [Publisher information for specific report or book needed for full citation].</w:t>
      </w:r>
    </w:p>
    <w:p>
      <w:pPr>
        <w:pStyle w:val="style0"/>
        <w:rPr/>
      </w:pPr>
      <w:r>
        <w:t>Usmani, M. T. (2002). An introduction to Islamic finance. Maktaba Ma’ariful Qur’an.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721</Words>
  <Characters>4355</Characters>
  <Application>WPS Office</Application>
  <Paragraphs>17</Paragraphs>
  <CharactersWithSpaces>5059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2025-12-30T18:18:11Z</dcterms:created>
  <dc:creator>SM-E066B</dc:creator>
  <lastModifiedBy>SM-E066B</lastModifiedBy>
  <dcterms:modified xsi:type="dcterms:W3CDTF">2025-12-30T18:19:43Z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f75d54e0521b46f1a5d5942bc16ce9c1</vt:lpwstr>
  </property>
</Properties>
</file>