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00F3C" w14:textId="77777777" w:rsidR="00EE524F" w:rsidRDefault="00EE524F">
      <w:r>
        <w:t xml:space="preserve">Ending Exploitative Taxation </w:t>
      </w:r>
    </w:p>
    <w:p w14:paraId="0B2526C0" w14:textId="77777777" w:rsidR="00EE524F" w:rsidRDefault="00EE524F">
      <w:r>
        <w:t>A zakat-based system for justice, economic growth, and welfare for all</w:t>
      </w:r>
    </w:p>
    <w:p w14:paraId="2B4C3ED6" w14:textId="77777777" w:rsidR="00EE524F" w:rsidRDefault="00EE524F"/>
    <w:p w14:paraId="27135C3A" w14:textId="77777777" w:rsidR="00EE524F" w:rsidRDefault="00EE524F">
      <w:r>
        <w:t>Economic inequality is no longer a statistic in a world where the wealth of the 1% has grown to exceed that of the remaining 99 percent of humanity. It is a structural wrong in a world that has destroyed trust and is building social unrest, and placing millions of people in poverty. The current taxation regimes, which are theoretically built to decrease the inequality, in reality tend to increase it, subjecting low- and middle-income households to regressive indirect taxes, and letting the ultra-rich evade their taxes, taking their profits to offshore locations. With governments grappling to maintain their debts and fiscal space, the question is not how to tax more, but how to come up with a morally serious and economically efficient system of redistribution.</w:t>
      </w:r>
    </w:p>
    <w:p w14:paraId="2CC5F7A9" w14:textId="25A4D66B" w:rsidR="00EE524F" w:rsidRDefault="00EE524F">
      <w:r>
        <w:t xml:space="preserve"> In the case of Muslim communities, it might not be merely an increase in traditional taxes, but the reinstatement of one of the century-long-standing institutions integrating spirituality and social policy zakat, a mandatory wealth redistribution to bring justice, honor and collective prosperity. How is taxation an exploitation? The problem is that when high-income earners can avoid their taxation responsibilities both legally and illegally, the tax systems in the modern times becomes exploitative as the poor ones are left with the responsibility of financing the state disproportionately. High dependence on consumption taxes like sales tax or VAT implies that the poor will have to contribute a greater portion of their income as compared to the rich to purchase basic goods despite the fact that high-income groups receive exemptions, deductions, and preferential capital-gains treatment. Meanwhile, multinational corporations can avoid payment of taxes to developing countries because complex code of corporate taxes and lax enforcement allows these corporations to move their profits to low tax jurisdictions leaving the government with no choice but to borrow on interest in order to finance its basic services. </w:t>
      </w:r>
      <w:proofErr w:type="spellStart"/>
      <w:r>
        <w:t>Islamically</w:t>
      </w:r>
      <w:proofErr w:type="spellEnd"/>
      <w:r>
        <w:t xml:space="preserve">, this arrangement is an abomination of the warning in the Quran that wealth cannot be given out as per (paraphrasing 59:7) of Quran: Wealth does not circulate among the rich among you without the poor becoming poor, except when they be given out to relatives and orphans and the needy and the traveler and the beggar and to liberate the slave. Economic systems that sustain extreme wealth concentration and deprive the poor of their rights contravene the </w:t>
      </w:r>
      <w:proofErr w:type="spellStart"/>
      <w:r>
        <w:t>Maqasid</w:t>
      </w:r>
      <w:proofErr w:type="spellEnd"/>
      <w:r>
        <w:t xml:space="preserve"> al-</w:t>
      </w:r>
      <w:proofErr w:type="spellStart"/>
      <w:r>
        <w:t>shari’ah</w:t>
      </w:r>
      <w:proofErr w:type="spellEnd"/>
      <w:r>
        <w:t xml:space="preserve"> – the exalted aims of the Islamic law that focus on justice (</w:t>
      </w:r>
      <w:proofErr w:type="spellStart"/>
      <w:r>
        <w:t>adl</w:t>
      </w:r>
      <w:proofErr w:type="spellEnd"/>
      <w:r>
        <w:t>), welfare (</w:t>
      </w:r>
      <w:proofErr w:type="spellStart"/>
      <w:r>
        <w:t>falah</w:t>
      </w:r>
      <w:proofErr w:type="spellEnd"/>
      <w:r>
        <w:t>), and safeguarding of life, property and dignity.  It is not only an economic issue, however, but an ethical defeat as well, a signal of a failed social contract between state and its people. Zakat: legal and ethical grounds of rightful distribution .Zakat stands out as being of a special status in Islam as not just a ritual of prayer but also a tax or a compulsory fiscal remittance, as much as prayer is one of the five pillars of faith. It is not imposed on all sources of transactions and income in a capacitance manner, but on net wealth and defined assets that exceed a minimum limit (</w:t>
      </w:r>
      <w:proofErr w:type="spellStart"/>
      <w:r>
        <w:t>nisab</w:t>
      </w:r>
      <w:proofErr w:type="spellEnd"/>
      <w:r>
        <w:t>) and are possessed over a year in the lunar year and are not measured against the temporary cash flow. The 2.5 percent typical interest on monetary assets is not excessive enough to make it obsolete but strong enough to dishearten hoarding and convert stagnant wealth into an incessant stream to the needy. Quran limits zakat to eight groups of beneficiaries, namely the poor and the needy, those who go out to receive [zakat], those whose hearts are to be reconciled, ransom-takers, debtors, in the way of Allah, and the traveler (Surah At-</w:t>
      </w:r>
      <w:proofErr w:type="spellStart"/>
      <w:r>
        <w:t>Tawbah</w:t>
      </w:r>
      <w:proofErr w:type="spellEnd"/>
      <w:r>
        <w:t xml:space="preserve"> 9:60) and hence, it turns what appears to be charity into a right of the disadvantaged communities over the fortune of the rich. Classical modern jurists and scholars like M. </w:t>
      </w:r>
      <w:proofErr w:type="spellStart"/>
      <w:r>
        <w:t>Umer</w:t>
      </w:r>
      <w:proofErr w:type="spellEnd"/>
      <w:r>
        <w:t xml:space="preserve"> </w:t>
      </w:r>
      <w:proofErr w:type="spellStart"/>
      <w:r>
        <w:t>Chapra</w:t>
      </w:r>
      <w:proofErr w:type="spellEnd"/>
      <w:r>
        <w:t xml:space="preserve"> and Muhammad </w:t>
      </w:r>
      <w:proofErr w:type="spellStart"/>
      <w:r>
        <w:t>Nejatullah</w:t>
      </w:r>
      <w:proofErr w:type="spellEnd"/>
      <w:r>
        <w:t xml:space="preserve"> Siddique emphasize that zakat is intended to stave off both absolute impoverishment and relative impoverishment, as this would minimize resentment and social disintegration that come about because the rich live in impregnable fortresses with the rest living in poverty. Since the act of paying zakat is driven by belief and responsibility before God, it may be more willing and compliance with it is increased than other acts of collection of tax that are seen as arbitrary, unnecessarily so, and therefore do not require coercive and unfair means to collect a significant amount of resources by the state or another authorized institution. </w:t>
      </w:r>
    </w:p>
    <w:p w14:paraId="41BAD906" w14:textId="77777777" w:rsidR="00EE524F" w:rsidRDefault="00EE524F">
      <w:r>
        <w:t>Economic rationale: how zakat is the counter to inequality and instability. Zakat has obvious economic reasoning beyond its spiritual aspect. It can encourage asset-holders to invest their assets in productive ways or to distribute some of it to the social good by levying a reimbursable fee on the idle or unproductive wealth, thus raising both the levels of capital formation and consumption by the lower-income classes.  Survey with Malaysian evidence reveals that systematic zakat transfer will alleviate the poverty levels and level of poverty of most recipient households and analysis of the Lorenz curve and Gini coefficient reveals that income distribution is more equal after receiving zakat than before. Organized as productive zakat, where micro-enterprises, skills training and asset transfers are financed instead of issuing one-time food packages, zakat gives poor families the opportunity to leave the dependence level and enter the self-employment level, which further expands the future pool of zakat payers. On the macroeconomic level, zakat may act as an inbuilt stabilizer. Since it is pegged on wealth and business properties, government or institutional revenues of zakat increase during boom periods, permitting the provision of more assistance to the vulnerable groups without necessarily having to resort to interest-based deficit financing which would transfer the burden to future taxpayers. With the real-world economic flow and interest (</w:t>
      </w:r>
      <w:proofErr w:type="spellStart"/>
      <w:r>
        <w:t>riba</w:t>
      </w:r>
      <w:proofErr w:type="spellEnd"/>
      <w:r>
        <w:t xml:space="preserve">) prohibited, the Islamic economic theory imagines an economy in which the growth is more inclusive and speculative bubbles are reined in by moral restrictions. Traditions of Islamic history and the modern case studies. Zakat was at the center of the public treasury (Bayt al-mal) in early Muslim states which financed social welfare, infrastructure, and defense among other levies like </w:t>
      </w:r>
      <w:proofErr w:type="spellStart"/>
      <w:r>
        <w:t>Kharaj</w:t>
      </w:r>
      <w:proofErr w:type="spellEnd"/>
      <w:r>
        <w:t xml:space="preserve"> (tax on land). In his </w:t>
      </w:r>
      <w:proofErr w:type="spellStart"/>
      <w:r>
        <w:t>Muqaddimah</w:t>
      </w:r>
      <w:proofErr w:type="spellEnd"/>
      <w:r>
        <w:t xml:space="preserve">, Ibn </w:t>
      </w:r>
      <w:proofErr w:type="spellStart"/>
      <w:r>
        <w:t>Khaldun</w:t>
      </w:r>
      <w:proofErr w:type="spellEnd"/>
      <w:r>
        <w:t xml:space="preserve"> noted that stable, moderate levies by rulers and property rights had the effect of growing economic activity and raising revenues, but arbitrary or exorbitant levies would kill incentives, reduce the base of tax collection and eventually result in fiscal ruin. Classical accounts of the reign of Umar ibn </w:t>
      </w:r>
      <w:proofErr w:type="spellStart"/>
      <w:r>
        <w:t>Abd</w:t>
      </w:r>
      <w:proofErr w:type="spellEnd"/>
      <w:r>
        <w:t xml:space="preserve"> al-Aziz show government officials having a hard time identifying qualified zakat beneficiaries since past policies had already brought many out of destitution, providing an example of the vision of a system whose effectiveness would gradually decrease its clientele, though the historical specifics of these reports are still controversial. The modern experiences in the countries of the Muslim majority demonstrate both opportunities and threats of the institutionalization of zakat. State-level zakat bodies in Selangor and Kelantan have been observed to be an effective tool in decreasing the prevalence of poverty and income inequality among registered beneficiaries, particularly where distributions of zakat are coupled to monthly assistance together with business capital and training. In Indonesia, national organizations as BAZNAS and charitable groups rely on zakat to fund health, education, and micro-enterprise initiatives in accordance with the Sustainable Development Goals, although researchers report that coverage, data quality, and coordination continue to be problematic. The state-funded zakat scheme in Pakistan administered partially through compulsory deductions on the bank accounts of selected depositors, has enabled poor households and students in the country to receive state-funded stipends, but its effects are limited due to the threat of politicization and leakage, thus indicating the necessity of effective governance and civil-society involvement. Structuring a zakat system as a substitute to predatory taxation. Claiming that a zakat system can end exploitative taxation would not imply eliminating all other taxes, but would mean re-architecting the fiscal system in such a way that the basic redistributive role is based on ethically sound, wealth-based obligations, as opposed to the instruments of regressive taxation. To begin with, governments can step by step decrease the dependence on high consumption taxes on the necessities and enhance the gathering of zakat on the monetary properties, business stocks, and unutilized land, with the tolerances of the Islamic jurisprudence. The combination of current financial reporting and digital payment systems with zakat administration by means of banking systems and mobile applications as well as national identity databases can multiply the size and transparency of collection manifold. Second, zakat funds are not to be disbursed only as emergency funds but as long term empowerment capital. Effective zakat initiatives in Indonesia and Aceh, such as the one where recipients are given equipment, livestock or seed money to start their own enterprises and mentorship to that effect, have demonstrated that when recipients are given equipment, livestock or seed money, many become micro-entrepreneurs themselves and eventually become zakat payers. Other models, like the one tailored to Pakistan, would fund women-led businesses, small-farmer, and youth startups, which would directly target structural unemployment and underemployment, which contribute to inequality. Third, it is possible to expand the effect of zakat into an ecosystem of wider Islamic social finance, such as </w:t>
      </w:r>
      <w:proofErr w:type="spellStart"/>
      <w:r>
        <w:t>waqf</w:t>
      </w:r>
      <w:proofErr w:type="spellEnd"/>
      <w:r>
        <w:t xml:space="preserve"> (endowments), </w:t>
      </w:r>
      <w:proofErr w:type="spellStart"/>
      <w:r>
        <w:t>Qard</w:t>
      </w:r>
      <w:proofErr w:type="spellEnd"/>
      <w:r>
        <w:t xml:space="preserve"> </w:t>
      </w:r>
      <w:proofErr w:type="spellStart"/>
      <w:r>
        <w:t>hasan</w:t>
      </w:r>
      <w:proofErr w:type="spellEnd"/>
      <w:r>
        <w:t xml:space="preserve"> (benevolent loans), and interest-free microfinance which would provide routes by which short-term relief leads to long-term asset ownership. Lastly, sound governance is needed so that zakat does not remain the means of elite capture. This demands external audits, disclosure of collections and disbursements, the involvement of scholars and economists and representatives of the citizens in the supervisory boards and stringent requirements to have the money come to the Quranic categories on the basis of genuine need and not political allegiance. The transparency of digital dashboards with allocations by area and program in real-time can establish trust in the population and stimulate more people who are already rich payers to choose more informal private donation. Inclusive and multi-religious societies, clear structures can also be used to make the merits of zakat-financed programs, including clinics, schools, and job schemes, accessible to all poor people, irrespective of their religion, even though the requirement to pay is still religiously defined among Muslims. Responding to the most common criticisms Critics of the vision.</w:t>
      </w:r>
    </w:p>
    <w:p w14:paraId="382491B9" w14:textId="3C2E6686" w:rsidR="00EE524F" w:rsidRDefault="00EE524F">
      <w:r>
        <w:t xml:space="preserve">Skeptics occasionally point out that in the case of zakat being successfully applied, there would be no high poverty and inequality in Muslim societies today. Several studies indicate that in most countries, zakat is not well collected, it is divided into thousands of informal networks, it is consumed quickly but it fails to empower and strengthen the structures. Weak data, insufficient professional capacity, and lack of integration with national development planning are weaknesses of the institution, but they are more a symptom of their under-institutionalization. With good governance and well organized, empirical evidence in Malaysia, Indonesia and other settings indicates that zakat can immensely help in reducing poverty rates, decrease income disparities and build social cohesion. Whether zakat can raise enough revenue to create a meaningful substitute to unfair taxes and decrease public debt is another question posed by others. It is estimated that the zakat potential in the world is in hundreds of billions of dollars a year, much larger than the current humanitarian aid flows, and that in most Muslim-majority countries mobilization of even a small part of this potential would be a challenge to some of the leading tax heads. Although zakat will not replace all other kinds of taxation, it can take a significant part of the redistributive load and enable states to drop regressive taxes, rely more on fair levies on wealth and profit, and reduce reliance on the interest charged on borrowing, which alienates the future of the poor. An end of exploitative taxation system, based on zakat, is not therefore a dream of the past, but an actual proposal to provide twenty-first-century fiscal justice. By making the rich pay part of their excess, through open institutions to a poorer, less powerful, or more marginalized society, and by aligning communal finance with the </w:t>
      </w:r>
      <w:proofErr w:type="spellStart"/>
      <w:r>
        <w:t>maqasid</w:t>
      </w:r>
      <w:proofErr w:type="spellEnd"/>
      <w:r>
        <w:t xml:space="preserve"> al-</w:t>
      </w:r>
      <w:proofErr w:type="spellStart"/>
      <w:r>
        <w:t>shari’ah</w:t>
      </w:r>
      <w:proofErr w:type="spellEnd"/>
      <w:r>
        <w:t xml:space="preserve">, societies will be able to turn the resentment one feels towards paying taxes into a mutual vow of mercy and mutual </w:t>
      </w:r>
      <w:proofErr w:type="spellStart"/>
      <w:r>
        <w:t>upliftment</w:t>
      </w:r>
      <w:proofErr w:type="spellEnd"/>
      <w:r>
        <w:t>. The rich do not only pay more in such economy, they also give back in a manner that cleanses their riches, gives back dignity to the poor and reinstating the very structure of a just and a prosperous community.</w:t>
      </w:r>
    </w:p>
    <w:p w14:paraId="5C9A4870" w14:textId="77777777" w:rsidR="00EE524F" w:rsidRDefault="00EE524F"/>
    <w:sectPr w:rsidR="00EE52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6"/>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24F"/>
    <w:rsid w:val="00254582"/>
    <w:rsid w:val="005C1FD3"/>
    <w:rsid w:val="007351EC"/>
    <w:rsid w:val="00E6538A"/>
    <w:rsid w:val="00EE5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5AA511"/>
  <w15:chartTrackingRefBased/>
  <w15:docId w15:val="{8D0D5C14-DE7A-0045-80A6-FFABFFDEC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2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52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52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52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52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52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52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52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52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2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52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52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52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52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52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52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52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524F"/>
    <w:rPr>
      <w:rFonts w:eastAsiaTheme="majorEastAsia" w:cstheme="majorBidi"/>
      <w:color w:val="272727" w:themeColor="text1" w:themeTint="D8"/>
    </w:rPr>
  </w:style>
  <w:style w:type="paragraph" w:styleId="Title">
    <w:name w:val="Title"/>
    <w:basedOn w:val="Normal"/>
    <w:next w:val="Normal"/>
    <w:link w:val="TitleChar"/>
    <w:uiPriority w:val="10"/>
    <w:qFormat/>
    <w:rsid w:val="00EE52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52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52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52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524F"/>
    <w:pPr>
      <w:spacing w:before="160"/>
      <w:jc w:val="center"/>
    </w:pPr>
    <w:rPr>
      <w:i/>
      <w:iCs/>
      <w:color w:val="404040" w:themeColor="text1" w:themeTint="BF"/>
    </w:rPr>
  </w:style>
  <w:style w:type="character" w:customStyle="1" w:styleId="QuoteChar">
    <w:name w:val="Quote Char"/>
    <w:basedOn w:val="DefaultParagraphFont"/>
    <w:link w:val="Quote"/>
    <w:uiPriority w:val="29"/>
    <w:rsid w:val="00EE524F"/>
    <w:rPr>
      <w:i/>
      <w:iCs/>
      <w:color w:val="404040" w:themeColor="text1" w:themeTint="BF"/>
    </w:rPr>
  </w:style>
  <w:style w:type="paragraph" w:styleId="ListParagraph">
    <w:name w:val="List Paragraph"/>
    <w:basedOn w:val="Normal"/>
    <w:uiPriority w:val="34"/>
    <w:qFormat/>
    <w:rsid w:val="00EE524F"/>
    <w:pPr>
      <w:ind w:left="720"/>
      <w:contextualSpacing/>
    </w:pPr>
  </w:style>
  <w:style w:type="character" w:styleId="IntenseEmphasis">
    <w:name w:val="Intense Emphasis"/>
    <w:basedOn w:val="DefaultParagraphFont"/>
    <w:uiPriority w:val="21"/>
    <w:qFormat/>
    <w:rsid w:val="00EE524F"/>
    <w:rPr>
      <w:i/>
      <w:iCs/>
      <w:color w:val="0F4761" w:themeColor="accent1" w:themeShade="BF"/>
    </w:rPr>
  </w:style>
  <w:style w:type="paragraph" w:styleId="IntenseQuote">
    <w:name w:val="Intense Quote"/>
    <w:basedOn w:val="Normal"/>
    <w:next w:val="Normal"/>
    <w:link w:val="IntenseQuoteChar"/>
    <w:uiPriority w:val="30"/>
    <w:qFormat/>
    <w:rsid w:val="00EE52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524F"/>
    <w:rPr>
      <w:i/>
      <w:iCs/>
      <w:color w:val="0F4761" w:themeColor="accent1" w:themeShade="BF"/>
    </w:rPr>
  </w:style>
  <w:style w:type="character" w:styleId="IntenseReference">
    <w:name w:val="Intense Reference"/>
    <w:basedOn w:val="DefaultParagraphFont"/>
    <w:uiPriority w:val="32"/>
    <w:qFormat/>
    <w:rsid w:val="00EE52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2013</Words>
  <Characters>11475</Characters>
  <Application>Microsoft Office Word</Application>
  <DocSecurity>0</DocSecurity>
  <Lines>95</Lines>
  <Paragraphs>26</Paragraphs>
  <ScaleCrop>false</ScaleCrop>
  <Company/>
  <LinksUpToDate>false</LinksUpToDate>
  <CharactersWithSpaces>13462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atikatariq48@gmail.com</dc:creator>
  <cp:keywords/>
  <dc:description/>
  <cp:lastModifiedBy>atikatariq48@gmail.com</cp:lastModifiedBy>
  <cp:revision>2</cp:revision>
  <dcterms:created xsi:type="dcterms:W3CDTF">2025-12-27T16:32:00Z</dcterms:created>
  <dcterms:modified xsi:type="dcterms:W3CDTF">2025-12-27T16:32:00Z</dcterms:modified>
</cp:coreProperties>
</file>