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C7BEB" w14:textId="5B67B128" w:rsidR="00377CCE" w:rsidRPr="00010799" w:rsidRDefault="00377CCE" w:rsidP="00B31FF9">
      <w:pPr>
        <w:pStyle w:val="Title"/>
      </w:pPr>
      <w:r w:rsidRPr="00010799">
        <w:t>How a Full Reserve Interest-Free System Can Eliminate Government Debts, Deficits, and Inflation</w:t>
      </w:r>
    </w:p>
    <w:p w14:paraId="555AD99C" w14:textId="77777777" w:rsidR="00377CCE" w:rsidRDefault="00377CCE"/>
    <w:p w14:paraId="195B28EA" w14:textId="6828E59B" w:rsidR="00377CCE" w:rsidRDefault="00377CCE">
      <w:r w:rsidRPr="003C4069">
        <w:rPr>
          <w:rStyle w:val="Heading1Char"/>
        </w:rPr>
        <w:t>The Nature of Government Debt and Deficit</w:t>
      </w:r>
      <w:r w:rsidR="00B317D2">
        <w:rPr>
          <w:rStyle w:val="Heading1Char"/>
        </w:rPr>
        <w:t>s</w:t>
      </w:r>
    </w:p>
    <w:p w14:paraId="593D5A6B" w14:textId="30EF2D49" w:rsidR="00927C2B" w:rsidRDefault="00377CCE" w:rsidP="00927C2B">
      <w:r>
        <w:t xml:space="preserve">Government debt and deficits are ongoing issues in contemporary economies, stemming from the imbalance between public spending and revenue. </w:t>
      </w:r>
    </w:p>
    <w:p w14:paraId="10C1D3FF" w14:textId="043CABB4" w:rsidR="00DE5247" w:rsidRDefault="00DE5247">
      <w:r>
        <w:t>Jacob Haqq-Misra’s (2024) model for economic freedom on Mars presents an intriguing vision of a sovereign, interest-free full reserve financial system that could potentially eradicate the root causes of government deficits, debts, and inflation. This essay examines the theoretical foundations and practical implications of such a system.</w:t>
      </w:r>
    </w:p>
    <w:p w14:paraId="5FDF7350" w14:textId="77777777" w:rsidR="00094594" w:rsidRDefault="00094594" w:rsidP="00BE4C57">
      <w:pPr>
        <w:pStyle w:val="Heading1"/>
      </w:pPr>
      <w:r>
        <w:t>The Problem of Government Deficits, Debt, and Inflation</w:t>
      </w:r>
    </w:p>
    <w:p w14:paraId="300855AF" w14:textId="4776A231" w:rsidR="009C1FB0" w:rsidRDefault="00094594">
      <w:r>
        <w:t>Government deficits and public debt have become defining characteristics of modern fiscal policy. In many contemporary economies, governments routinely exceed their financial limits by funding shortfalls through borrowing, which accumulates as public debt</w:t>
      </w:r>
      <w:r w:rsidR="0059458E">
        <w:t>. Full</w:t>
      </w:r>
      <w:r w:rsidR="009C1FB0">
        <w:t xml:space="preserve"> reserve banking marks a transformative approach towards achieving financial stability and fostering economic growth while promoting inclusive prosperity. It aligns well with the principles of Islamic economics and the foundational aspects of Islamic banking.  The suggestion was made by a chartered accountant and economic analyst, during a roundtable discussion titled “A Solution for Tackling Huge Government Debt, Interest Costs, and Inflation in Pakistan: Full Reserve Banking Model” at the Institute of Policy Studies (IPS) in Islamabad. He pointed out that an astonishing 60 percent of government revenue is currently devoted to interest payments, driven by rising debt servicing costs that have surged from less than Rs200 billion in 2003-04 to around Rs7,300 billion in 2023-24. Notably, 90 percent of these interest expenses are related to domestic loans rather than foreign ones, the Government of Pakistan has been compelled to secure substantial loans from banks to cover the enormous interest costs resulting from the State Bank of Pakistan’s high-interest rate policy. </w:t>
      </w:r>
    </w:p>
    <w:p w14:paraId="0B6A3252" w14:textId="77777777" w:rsidR="009C1FB0" w:rsidRDefault="009C1FB0">
      <w:r>
        <w:t xml:space="preserve">. Citing the Pakistan Economic Survey 2022-23, he emphasized that both interest rates and inflation have been rising concurrently. Referring to the World Bank Report that critiques </w:t>
      </w:r>
      <w:r>
        <w:lastRenderedPageBreak/>
        <w:t>the Ineffective SBP policy, he pointed out that financing the fiscal deficit through bank borrowing has significantly increased the monetary base, exacerbating inflationary pressures. Discussing fractional reserve banking, Khalil noted that Pakistan’s government has heavily depended on budgetary borrowing from the SBP, resulting in unsustainable monetary expansion due to a 5 percent reserve ratio having a 20-fold multiplier effect.</w:t>
      </w:r>
    </w:p>
    <w:p w14:paraId="1F5ACD43" w14:textId="4EE1BD35" w:rsidR="00094594" w:rsidRDefault="009C1FB0">
      <w:r>
        <w:t>Pakistan receives $1.2 billion from the IMF. He suggested that a novel economic solution to these issues is full reserve banking as a means to address high government debt and interest rates. In this model, the State Bank would maintain 100 percent reserves against deposits, allowing for centralized and controlled money creation. Additionally, payment processes and credit extensions would be completely separated; deposits would not be utilized to finance loans</w:t>
      </w:r>
      <w:r w:rsidR="00094594">
        <w:t xml:space="preserve">. The prevailing model of fractional reserve banking empowers commercial banks to create money through lending, significantly increasing the money supply beyond physical reserves. This expansion fuels inflation, encourages government borrowing, and introduces systemic financial risks </w:t>
      </w:r>
      <w:r w:rsidR="00094594" w:rsidRPr="005F0DC3">
        <w:rPr>
          <w:b/>
          <w:bCs/>
        </w:rPr>
        <w:t>(Haqq-Misra, 2024</w:t>
      </w:r>
      <w:r w:rsidR="00094594">
        <w:t>).</w:t>
      </w:r>
    </w:p>
    <w:p w14:paraId="441A15E6" w14:textId="17220506" w:rsidR="00377CCE" w:rsidRDefault="00377CCE">
      <w:r w:rsidRPr="003C4069">
        <w:rPr>
          <w:rStyle w:val="Heading1Char"/>
        </w:rPr>
        <w:t>The Mechanics of a Full Reserve System</w:t>
      </w:r>
    </w:p>
    <w:p w14:paraId="37C6DFBD" w14:textId="5CCDE65F" w:rsidR="00377CCE" w:rsidRDefault="00377CCE">
      <w:r>
        <w:t>A full reserve banking system requires banks to hold 100% of depositors’ funds in reserve, eliminating their capacity to create money through lending. This approach prevents inflationary credit growth and speculative financial practices.</w:t>
      </w:r>
    </w:p>
    <w:p w14:paraId="433E0C69" w14:textId="06F3BCB6" w:rsidR="00717C9E" w:rsidRDefault="00A768D1">
      <w:r>
        <w:t xml:space="preserve">Full reserve banking, as envisioned in the early twentieth-century Chicago Plan and later revived in </w:t>
      </w:r>
      <w:r w:rsidR="0059458E" w:rsidRPr="005F0DC3">
        <w:rPr>
          <w:b/>
          <w:bCs/>
        </w:rPr>
        <w:t>Haqq-Misra</w:t>
      </w:r>
      <w:r>
        <w:t xml:space="preserve"> economic proposal for Mars, mandates that banks keep 100% reserves against demand depos</w:t>
      </w:r>
      <w:r w:rsidR="00C33E88">
        <w:t>it</w:t>
      </w:r>
      <w:r w:rsidR="00717C9E">
        <w:t xml:space="preserve">, the Chicago Plan for monetary reform—first proposed during the Great Depression and revisited by </w:t>
      </w:r>
      <w:r w:rsidR="00717C9E" w:rsidRPr="005F0DC3">
        <w:rPr>
          <w:b/>
          <w:bCs/>
        </w:rPr>
        <w:t>Haqq-Misra (2024)</w:t>
      </w:r>
      <w:r w:rsidR="00717C9E">
        <w:t xml:space="preserve">—suggests replacing fractional reserve banking with a full reserve system. In a full reserve banking model, banks would be required to hold 100% of reserves against demand deposits, clearly distinguishing between the roles of deposit-taking and lending. This would ensure that all funds deposited for safekeeping are fully backed by reserves, eliminating the risk of bank runs and guaranteeing that money is always available for </w:t>
      </w:r>
      <w:r w:rsidR="0059458E">
        <w:t>withdrawal</w:t>
      </w:r>
      <w:r w:rsidR="0059458E" w:rsidRPr="0005444C">
        <w:rPr>
          <w:b/>
          <w:bCs/>
        </w:rPr>
        <w:t>. Institute</w:t>
      </w:r>
      <w:r w:rsidR="0039502B" w:rsidRPr="0005444C">
        <w:rPr>
          <w:b/>
          <w:bCs/>
        </w:rPr>
        <w:t xml:space="preserve"> of Policy</w:t>
      </w:r>
      <w:r w:rsidR="0039502B">
        <w:t xml:space="preserve"> </w:t>
      </w:r>
      <w:r w:rsidR="0039502B" w:rsidRPr="0005444C">
        <w:rPr>
          <w:b/>
          <w:bCs/>
        </w:rPr>
        <w:t>Studies (2024</w:t>
      </w:r>
      <w:r w:rsidR="0039502B">
        <w:t xml:space="preserve">). </w:t>
      </w:r>
    </w:p>
    <w:p w14:paraId="3E6EF030" w14:textId="77777777" w:rsidR="00717C9E" w:rsidRDefault="00717C9E">
      <w:r w:rsidRPr="00DC5DAB">
        <w:rPr>
          <w:b/>
          <w:bCs/>
        </w:rPr>
        <w:t xml:space="preserve">Haqq-Misra (2024) </w:t>
      </w:r>
      <w:r>
        <w:t>explains this rationale, stating that “with 100% reserves, however, the money would be there; and honestly run banks could never go bankrupt as a result of a run on demand deposits”</w:t>
      </w:r>
      <w:r w:rsidRPr="00A81623">
        <w:rPr>
          <w:b/>
          <w:bCs/>
        </w:rPr>
        <w:t xml:space="preserve"> (p. 22). </w:t>
      </w:r>
      <w:r>
        <w:t xml:space="preserve">By removing banks’ ability to create credit from nothing, full reserve banking reestablishes control over the money supply in the hands of a centralized, transparent authority—which </w:t>
      </w:r>
      <w:r w:rsidRPr="00DC5DAB">
        <w:rPr>
          <w:b/>
          <w:bCs/>
        </w:rPr>
        <w:t>Haqq-Misra (2024)</w:t>
      </w:r>
      <w:r>
        <w:t xml:space="preserve"> refers to as the “Mars Money Authority” within the context of Martian settlement (p. 7).</w:t>
      </w:r>
    </w:p>
    <w:p w14:paraId="449B2BE2" w14:textId="20E6C21B" w:rsidR="00220D8B" w:rsidRDefault="00220D8B">
      <w:r>
        <w:lastRenderedPageBreak/>
        <w:t>In this framework, banks are prohibited from lending out deposited money unless they have the entire amount reserved, effectively eliminating the risk of bank runs and the inflationary consequences of creating money through lending (</w:t>
      </w:r>
      <w:r w:rsidRPr="00FE6910">
        <w:rPr>
          <w:b/>
          <w:bCs/>
        </w:rPr>
        <w:t xml:space="preserve">Haqq-Misra, 2024). </w:t>
      </w:r>
      <w:r>
        <w:t xml:space="preserve">A key feature of </w:t>
      </w:r>
      <w:r w:rsidR="0059458E">
        <w:t>Haqq-Misra</w:t>
      </w:r>
      <w:r>
        <w:t xml:space="preserve"> model is its addition of an interest-free system, which ensures that neither private nor public entities accumulate debt through compound interest.</w:t>
      </w:r>
    </w:p>
    <w:p w14:paraId="1CD69E20" w14:textId="02E13477" w:rsidR="00220D8B" w:rsidRPr="00DC5DAB" w:rsidRDefault="00220D8B">
      <w:pPr>
        <w:rPr>
          <w:b/>
          <w:bCs/>
        </w:rPr>
      </w:pPr>
      <w:r>
        <w:t xml:space="preserve">In a fractional reserve system, banks function both as custodians and creators of money, increasing the money supply by issuing loans. </w:t>
      </w:r>
      <w:r w:rsidR="00983C9A" w:rsidRPr="000B404C">
        <w:rPr>
          <w:b/>
          <w:bCs/>
        </w:rPr>
        <w:t>Benes, J., &amp; Kumhof, M. (2012).</w:t>
      </w:r>
      <w:r w:rsidR="00983C9A">
        <w:t xml:space="preserve"> </w:t>
      </w:r>
      <w:r>
        <w:t>Although this supports credit and economic growth, it can disconnect the money supply from actual economic output, resulting in cycles of excess liquidity and inflation. In contrast, full reserve banking ties the money supply to real reserves, preventing artificial expansion and its associated risks (</w:t>
      </w:r>
      <w:r w:rsidRPr="00DC5DAB">
        <w:rPr>
          <w:b/>
          <w:bCs/>
        </w:rPr>
        <w:t xml:space="preserve">Haqq-Misra, 2024). </w:t>
      </w:r>
    </w:p>
    <w:p w14:paraId="11DB7067" w14:textId="7EE14BC1" w:rsidR="00377CCE" w:rsidRDefault="00377CCE" w:rsidP="003C4069">
      <w:pPr>
        <w:pStyle w:val="Heading1"/>
      </w:pPr>
      <w:r>
        <w:t>Eliminating Government Deb</w:t>
      </w:r>
      <w:r w:rsidR="00212CCB">
        <w:t>t</w:t>
      </w:r>
    </w:p>
    <w:p w14:paraId="2A73DD16" w14:textId="23474A4E" w:rsidR="00377CCE" w:rsidRPr="0059458E" w:rsidRDefault="00377CCE">
      <w:pPr>
        <w:rPr>
          <w:b/>
          <w:bCs/>
        </w:rPr>
      </w:pPr>
      <w:r>
        <w:t xml:space="preserve">In an interest-free full reserve system, governments can finance expenditures without incurring interest-based debt. Historical examples like medieval Islamic economies and Silvio Gesell’s demurrage-based systems illustrate how interest-free models can support stable and prosperous </w:t>
      </w:r>
      <w:r w:rsidR="006D2385">
        <w:t xml:space="preserve">economies </w:t>
      </w:r>
      <w:r w:rsidR="006D2385" w:rsidRPr="006D2385">
        <w:rPr>
          <w:b/>
          <w:bCs/>
        </w:rPr>
        <w:t>Khan</w:t>
      </w:r>
      <w:r w:rsidR="00691511">
        <w:t>,</w:t>
      </w:r>
      <w:r w:rsidR="00691511" w:rsidRPr="00F44EB4">
        <w:rPr>
          <w:b/>
          <w:bCs/>
        </w:rPr>
        <w:t xml:space="preserve"> M. S</w:t>
      </w:r>
      <w:r w:rsidR="00691511">
        <w:t xml:space="preserve">. </w:t>
      </w:r>
      <w:r w:rsidR="00691511" w:rsidRPr="00F44EB4">
        <w:rPr>
          <w:b/>
          <w:bCs/>
        </w:rPr>
        <w:t>(1986)</w:t>
      </w:r>
      <w:r w:rsidRPr="00F44EB4">
        <w:rPr>
          <w:b/>
          <w:bCs/>
        </w:rPr>
        <w:t>.</w:t>
      </w:r>
      <w:r w:rsidR="004973C5">
        <w:t xml:space="preserve">A full reserve, interest-free system fundamentally changes how the state relates to the banking sector and the money supply. In this framework, new money is issued by a public monetary authority that adjusts currency supply according to demographic and economic needs—such as total population or infrastructure capacity—as envisioned for Mars </w:t>
      </w:r>
      <w:r w:rsidR="004973C5" w:rsidRPr="0059458E">
        <w:rPr>
          <w:b/>
          <w:bCs/>
        </w:rPr>
        <w:t xml:space="preserve">(Haqq-Misra, 2024, p. 7). </w:t>
      </w:r>
    </w:p>
    <w:p w14:paraId="14BB74CF" w14:textId="18FBE869" w:rsidR="00377CCE" w:rsidRPr="003C4069" w:rsidRDefault="00377CCE" w:rsidP="001F3649">
      <w:pPr>
        <w:pStyle w:val="Heading2"/>
      </w:pPr>
      <w:r w:rsidRPr="003C4069">
        <w:t>Eliminating Deficits</w:t>
      </w:r>
    </w:p>
    <w:p w14:paraId="767CDDA5" w14:textId="755B84C8" w:rsidR="00377CCE" w:rsidRDefault="00377CCE">
      <w:r>
        <w:t>Governments experience deficits when their expenditures surpass tax revenues, necessitating borrowing or monetary expansion. With no interest payments draining budgets, public funds can be redirected toward productive investment</w:t>
      </w:r>
      <w:r w:rsidR="00FE6910">
        <w:t>.</w:t>
      </w:r>
    </w:p>
    <w:p w14:paraId="2C6FEA5C" w14:textId="352264E7" w:rsidR="00377CCE" w:rsidRDefault="00377CCE">
      <w:r w:rsidRPr="001F3649">
        <w:rPr>
          <w:rStyle w:val="Heading2Char"/>
        </w:rPr>
        <w:t>Eliminating Inflation</w:t>
      </w:r>
    </w:p>
    <w:p w14:paraId="5C7EA57C" w14:textId="1DB1874B" w:rsidR="00377CCE" w:rsidRDefault="00377CCE">
      <w:r>
        <w:t>Inflation primarily results from an excessive growth in money supply not linked to genuine economic growt</w:t>
      </w:r>
      <w:r w:rsidR="001911DE">
        <w:t>h</w:t>
      </w:r>
      <w:r>
        <w:t xml:space="preserve">. </w:t>
      </w:r>
    </w:p>
    <w:p w14:paraId="5C25D444" w14:textId="05E51280" w:rsidR="0019231E" w:rsidRPr="00FE6910" w:rsidRDefault="0019231E">
      <w:pPr>
        <w:rPr>
          <w:b/>
          <w:bCs/>
        </w:rPr>
      </w:pPr>
      <w:r>
        <w:t xml:space="preserve">A major concern regarding the issuance of sovereign money is the potential for </w:t>
      </w:r>
      <w:r w:rsidR="006D2385">
        <w:t>inflation. There</w:t>
      </w:r>
      <w:r>
        <w:t xml:space="preserve"> is a fear that governments, unshackled from borrowing constraints, might finance excessive expenditures by printing more money, which could diminish the value of the currency. However, the full reserve system addresses this issue by establishing an independent monetary authority tasked with adjusting the money supply according to </w:t>
      </w:r>
      <w:r>
        <w:lastRenderedPageBreak/>
        <w:t xml:space="preserve">objective criteria—such as the economic capacity or settlement needs, similar to proposals for Mars </w:t>
      </w:r>
      <w:r w:rsidRPr="00FE6910">
        <w:rPr>
          <w:b/>
          <w:bCs/>
        </w:rPr>
        <w:t xml:space="preserve">(Haqq-Misra, 2024, p. 7). </w:t>
      </w:r>
    </w:p>
    <w:p w14:paraId="5C170326" w14:textId="376779CD" w:rsidR="00377CCE" w:rsidRDefault="00377CCE">
      <w:r w:rsidRPr="001F3649">
        <w:rPr>
          <w:rStyle w:val="Heading1Char"/>
        </w:rPr>
        <w:t>Transition and Implementation Challenges</w:t>
      </w:r>
    </w:p>
    <w:p w14:paraId="6F46B3E5" w14:textId="07B74FDF" w:rsidR="00215B47" w:rsidRDefault="00E604D3">
      <w:r>
        <w:t xml:space="preserve"> By eliminating the profit motive tied to lending and credit creation, this approach prevents wealth accumulation through unearned financial gains and lessens debt servicing burdens for individuals and the state alik</w:t>
      </w:r>
      <w:r w:rsidR="00FF633F">
        <w:t>e.</w:t>
      </w:r>
      <w:r w:rsidR="00215B47">
        <w:t xml:space="preserve"> This shift necessitates developing alternative methods for capital allocation—such as equity-based financing, public investment, or cooperative lending structures—all focused on fostering productive activity over speculative profits.</w:t>
      </w:r>
    </w:p>
    <w:p w14:paraId="2DD31973" w14:textId="77777777" w:rsidR="00156364" w:rsidRDefault="00156364" w:rsidP="001F3649">
      <w:pPr>
        <w:pStyle w:val="Heading1"/>
      </w:pPr>
      <w:r>
        <w:t>Diffusion of Capital Ownership and Political Stability</w:t>
      </w:r>
    </w:p>
    <w:p w14:paraId="66586D18" w14:textId="77777777" w:rsidR="00156364" w:rsidRDefault="00156364">
      <w:r>
        <w:t>While full reserve, interest-free banking addresses the monetary causes of instability, it does not fully tackle issues related to wealth distribution and economic fairness. To address this,</w:t>
      </w:r>
      <w:r w:rsidRPr="0098547B">
        <w:rPr>
          <w:b/>
          <w:bCs/>
        </w:rPr>
        <w:t xml:space="preserve"> Haqq-Misra (2024</w:t>
      </w:r>
      <w:r>
        <w:t>) integrates the proposals of Kelso and Adler aimed at diffusing capital ownership. Instead of relying on mandatory redistribution or centralized state ownership—methods that could lead to authoritarianism—the diffusion model aims to expand access to wealth-generating assets for the entire population.</w:t>
      </w:r>
    </w:p>
    <w:p w14:paraId="5D8E5DD4" w14:textId="77777777" w:rsidR="00156364" w:rsidRDefault="00156364">
      <w:r>
        <w:t>As Haqq-Misra (2024) notes, “the broad distribution of capital ownership would ensure that the production of wealth itself remains diffuse and decentralized” (p. 8). This could involve mechanisms such as employee stock ownership plans, cooperative businesses, or universal endowments that provide every citizen with a stake in the economy's productive assets. By allowing individuals to earn income from both labor and capital, this system promotes long-term political stability and social unity, reducing incentives for rent-seeking behavior and the concentration of economic power.</w:t>
      </w:r>
    </w:p>
    <w:p w14:paraId="15408FF9" w14:textId="7334A7BF" w:rsidR="00156364" w:rsidRDefault="00156364">
      <w:r>
        <w:t>Maintaining the independence of monetary authorities, ensuring transparency in currency issuance, and safeguarding against external or private sector interference are vital for the integrity and effectiveness of full reserve systems.</w:t>
      </w:r>
      <w:r w:rsidR="004C36C5" w:rsidRPr="00481D77">
        <w:rPr>
          <w:b/>
          <w:bCs/>
        </w:rPr>
        <w:t>Haqq-Misra, J. (2024, August 27).</w:t>
      </w:r>
    </w:p>
    <w:p w14:paraId="04244A67" w14:textId="780FDA0F" w:rsidR="0016196E" w:rsidRDefault="0016196E" w:rsidP="0044286C">
      <w:pPr>
        <w:pStyle w:val="Heading1"/>
      </w:pPr>
      <w:r>
        <w:t>Long-Term Benefits</w:t>
      </w:r>
    </w:p>
    <w:p w14:paraId="7F471453" w14:textId="77777777" w:rsidR="0016196E" w:rsidRDefault="0016196E" w:rsidP="00BF2094"/>
    <w:p w14:paraId="33517C33" w14:textId="2DD65761" w:rsidR="007E51CD" w:rsidRDefault="0016196E">
      <w:r>
        <w:t xml:space="preserve">In the long term, a full reserve interest-free system fosters sustainable economic growth.  Crises stemming from debt bubbles, like the 2008 collapse, can be avoided. Drawing on theoretical and practical insights developed for space settlement scenarios, particularly the economic model proposed for a sovereign Mars by Haqq-Misra (2024), this essay </w:t>
      </w:r>
      <w:r>
        <w:lastRenderedPageBreak/>
        <w:t>critically explores how a full reserve, interest-free banking system could eliminate government debt, deficits, and inflation. Through descriptive analysis, it clarifies the mechanisms by which such a system could promote long-term economic stability and equity</w:t>
      </w:r>
      <w:r w:rsidR="008B0917">
        <w:t>.</w:t>
      </w:r>
    </w:p>
    <w:p w14:paraId="518D4E56" w14:textId="05BE6FAE" w:rsidR="00603D26" w:rsidRDefault="00603D26" w:rsidP="00300EA8">
      <w:pPr>
        <w:pStyle w:val="Heading1"/>
      </w:pPr>
      <w:r>
        <w:t>Conclusion</w:t>
      </w:r>
    </w:p>
    <w:p w14:paraId="1DEC1233" w14:textId="785AD39B" w:rsidR="00817BAF" w:rsidRPr="006F1AF6" w:rsidRDefault="00603D26" w:rsidP="00F53FB7">
      <w:pPr>
        <w:rPr>
          <w:b/>
          <w:bCs/>
        </w:rPr>
      </w:pPr>
      <w:r>
        <w:t>The ongoing issues of government debt, deficits, and inflation within the current fractional reserve, interest-based banking system highlight fundamental structural flaws in modern money and finance. Full reserve, interest-free banking, as envisioned in the context of Martian settlement by</w:t>
      </w:r>
      <w:r w:rsidRPr="00061796">
        <w:rPr>
          <w:b/>
          <w:bCs/>
        </w:rPr>
        <w:t xml:space="preserve"> Haqq-Misra (2024</w:t>
      </w:r>
      <w:r>
        <w:t>), presents a coherent and feasible model for tackling these challenges</w:t>
      </w:r>
      <w:r w:rsidR="00E63275">
        <w:t xml:space="preserve"> . </w:t>
      </w:r>
      <w:r w:rsidR="00E07277">
        <w:t>Full reserve, interest-free systems could theoretically be implemented here, though substantial political and institutional challenges exist (Haqq-Misra, 2024).</w:t>
      </w:r>
      <w:r>
        <w:t xml:space="preserve"> </w:t>
      </w:r>
      <w:r w:rsidR="00817BAF" w:rsidRPr="00817BAF">
        <w:t xml:space="preserve"> </w:t>
      </w:r>
      <w:r w:rsidR="00817BAF">
        <w:t>Furthermore, the digitalization of currency and advancements in financial technology could reduce some logistical obstacles that have previously made full reserve banking impractical. In a world increasingly focused on sustainability, social justice, and systemic risk, the case for radical monetary reform is receiving renewed attention (</w:t>
      </w:r>
      <w:r w:rsidR="00817BAF" w:rsidRPr="006F1AF6">
        <w:rPr>
          <w:b/>
          <w:bCs/>
        </w:rPr>
        <w:t>Haqq-Misra, 2024).</w:t>
      </w:r>
    </w:p>
    <w:p w14:paraId="24BE6837" w14:textId="77777777" w:rsidR="007E51CD" w:rsidRDefault="007E51CD" w:rsidP="004D560D">
      <w:pPr>
        <w:pStyle w:val="Heading1"/>
      </w:pPr>
      <w:r>
        <w:t>References</w:t>
      </w:r>
    </w:p>
    <w:p w14:paraId="37B0D255" w14:textId="256D8576" w:rsidR="007E51CD" w:rsidRDefault="000B404C">
      <w:pPr>
        <w:rPr>
          <w:b/>
          <w:bCs/>
        </w:rPr>
      </w:pPr>
      <w:r>
        <w:t>1</w:t>
      </w:r>
      <w:r w:rsidR="004E3122">
        <w:t>-Benes, J., &amp; Kumhof, M. (2012). The Chicago Plan revisited (Working Paper No. 12/202). International Monetary Fund.</w:t>
      </w:r>
    </w:p>
    <w:p w14:paraId="6C4F0C89" w14:textId="0E8AA2B9" w:rsidR="00AB5607" w:rsidRDefault="00496AF4">
      <w:r>
        <w:t>2-</w:t>
      </w:r>
      <w:r w:rsidR="007E51CD">
        <w:t xml:space="preserve">Haqq-Misra, J. (2024). A model for economic freedom on Mars. arXiv:2406.10380v2. </w:t>
      </w:r>
    </w:p>
    <w:p w14:paraId="0E2DCB95" w14:textId="05483AB4" w:rsidR="004F39A7" w:rsidRDefault="004F39A7">
      <w:r>
        <w:t>3-Khan, M. S. (1986). Islamic interest-free banking: A theoretical analysis. IMF Staff Papers, 33(1), 1-27.</w:t>
      </w:r>
    </w:p>
    <w:p w14:paraId="2399498A" w14:textId="1906B595" w:rsidR="0005444C" w:rsidRDefault="0005444C">
      <w:r>
        <w:t>4-</w:t>
      </w:r>
      <w:r w:rsidR="00BA2240">
        <w:t>Institute of Policy Studies. (2024). A solution for tackling huge government debt, interest costs, and inflation in Pakistan: Full reserve banking model. IPS Publications.</w:t>
      </w:r>
    </w:p>
    <w:p w14:paraId="3653C84D" w14:textId="3193D0A5" w:rsidR="00481D77" w:rsidRDefault="00481D77">
      <w:r>
        <w:t>5-Haqq-Misra, J. (2024, August 27). Constraints on interstellar sovereignty. Preprint submitted to Journal of the British Interplanetary Society (JBIS)</w:t>
      </w:r>
    </w:p>
    <w:p w14:paraId="47235E23" w14:textId="24098CD6" w:rsidR="00AB5607" w:rsidRDefault="00AB5607"/>
    <w:p w14:paraId="32DF3D48" w14:textId="68D4B02F" w:rsidR="00AB5607" w:rsidRDefault="00AB5607"/>
    <w:p w14:paraId="393EC175" w14:textId="77777777" w:rsidR="00AB5607" w:rsidRDefault="00AB5607"/>
    <w:p w14:paraId="3790783A" w14:textId="77777777" w:rsidR="00AB5607" w:rsidRDefault="00AB5607"/>
    <w:p w14:paraId="3C6110ED" w14:textId="77777777" w:rsidR="00AB5607" w:rsidRDefault="00AB5607"/>
    <w:p w14:paraId="7354B48D" w14:textId="77777777" w:rsidR="00AB5607" w:rsidRDefault="00AB5607"/>
    <w:p w14:paraId="238F2EC2" w14:textId="038D478E" w:rsidR="007D1FDB" w:rsidRDefault="007D1FDB">
      <w:r>
        <w:t xml:space="preserve">  </w:t>
      </w:r>
    </w:p>
    <w:p w14:paraId="47018F0F" w14:textId="77777777" w:rsidR="007D1FDB" w:rsidRDefault="007D1FDB"/>
    <w:p w14:paraId="7A4FF060" w14:textId="77777777" w:rsidR="00377CCE" w:rsidRDefault="00377CCE"/>
    <w:sectPr w:rsidR="00377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CE"/>
    <w:rsid w:val="00010799"/>
    <w:rsid w:val="000410CD"/>
    <w:rsid w:val="00047570"/>
    <w:rsid w:val="0005444C"/>
    <w:rsid w:val="0006177F"/>
    <w:rsid w:val="00061796"/>
    <w:rsid w:val="00062E75"/>
    <w:rsid w:val="00094594"/>
    <w:rsid w:val="000B404C"/>
    <w:rsid w:val="000C00CC"/>
    <w:rsid w:val="000D3DC9"/>
    <w:rsid w:val="000E6F20"/>
    <w:rsid w:val="000F65C8"/>
    <w:rsid w:val="00106209"/>
    <w:rsid w:val="00156364"/>
    <w:rsid w:val="00157352"/>
    <w:rsid w:val="0016196E"/>
    <w:rsid w:val="0017281F"/>
    <w:rsid w:val="001911DE"/>
    <w:rsid w:val="0019231E"/>
    <w:rsid w:val="001D0118"/>
    <w:rsid w:val="001E26B2"/>
    <w:rsid w:val="001E59D4"/>
    <w:rsid w:val="001E6CC6"/>
    <w:rsid w:val="001F3649"/>
    <w:rsid w:val="00212CCB"/>
    <w:rsid w:val="00215B47"/>
    <w:rsid w:val="00220D8B"/>
    <w:rsid w:val="0023289F"/>
    <w:rsid w:val="00234CB1"/>
    <w:rsid w:val="00281070"/>
    <w:rsid w:val="002C240F"/>
    <w:rsid w:val="002D0617"/>
    <w:rsid w:val="00300EA8"/>
    <w:rsid w:val="003356B1"/>
    <w:rsid w:val="003601DF"/>
    <w:rsid w:val="00360F07"/>
    <w:rsid w:val="00361C26"/>
    <w:rsid w:val="00377CCE"/>
    <w:rsid w:val="00390E0C"/>
    <w:rsid w:val="0039502B"/>
    <w:rsid w:val="003C4069"/>
    <w:rsid w:val="003F5EDE"/>
    <w:rsid w:val="00407149"/>
    <w:rsid w:val="00424CE8"/>
    <w:rsid w:val="0044286C"/>
    <w:rsid w:val="00453B59"/>
    <w:rsid w:val="00461656"/>
    <w:rsid w:val="00481D77"/>
    <w:rsid w:val="00496AF4"/>
    <w:rsid w:val="004973C5"/>
    <w:rsid w:val="004B2BA6"/>
    <w:rsid w:val="004C36C5"/>
    <w:rsid w:val="004D560D"/>
    <w:rsid w:val="004E3122"/>
    <w:rsid w:val="004F39A7"/>
    <w:rsid w:val="0058431C"/>
    <w:rsid w:val="0059458E"/>
    <w:rsid w:val="005B4D20"/>
    <w:rsid w:val="005E19C4"/>
    <w:rsid w:val="005F0DC3"/>
    <w:rsid w:val="00603D26"/>
    <w:rsid w:val="00621B86"/>
    <w:rsid w:val="00691511"/>
    <w:rsid w:val="006C3530"/>
    <w:rsid w:val="006D2385"/>
    <w:rsid w:val="006E1116"/>
    <w:rsid w:val="006F1AF6"/>
    <w:rsid w:val="006F1ECD"/>
    <w:rsid w:val="00702E86"/>
    <w:rsid w:val="007040DC"/>
    <w:rsid w:val="007159F1"/>
    <w:rsid w:val="00715D03"/>
    <w:rsid w:val="00717C9E"/>
    <w:rsid w:val="00782CA1"/>
    <w:rsid w:val="007D1FDB"/>
    <w:rsid w:val="007E51CD"/>
    <w:rsid w:val="00817BAF"/>
    <w:rsid w:val="0082287B"/>
    <w:rsid w:val="0087234A"/>
    <w:rsid w:val="008B0917"/>
    <w:rsid w:val="008C5337"/>
    <w:rsid w:val="00900F82"/>
    <w:rsid w:val="009063DA"/>
    <w:rsid w:val="00927C2B"/>
    <w:rsid w:val="0093046B"/>
    <w:rsid w:val="0093410D"/>
    <w:rsid w:val="00945FA8"/>
    <w:rsid w:val="009546D7"/>
    <w:rsid w:val="0096210D"/>
    <w:rsid w:val="00983C9A"/>
    <w:rsid w:val="0098547B"/>
    <w:rsid w:val="0098670E"/>
    <w:rsid w:val="00991F4A"/>
    <w:rsid w:val="009C1777"/>
    <w:rsid w:val="009C1FB0"/>
    <w:rsid w:val="00A768D1"/>
    <w:rsid w:val="00A81623"/>
    <w:rsid w:val="00AB30F7"/>
    <w:rsid w:val="00AB5607"/>
    <w:rsid w:val="00AC6C8D"/>
    <w:rsid w:val="00B101EF"/>
    <w:rsid w:val="00B303D2"/>
    <w:rsid w:val="00B317D2"/>
    <w:rsid w:val="00B31BCA"/>
    <w:rsid w:val="00B31FF9"/>
    <w:rsid w:val="00B354FF"/>
    <w:rsid w:val="00B4041D"/>
    <w:rsid w:val="00B46DD4"/>
    <w:rsid w:val="00B5073C"/>
    <w:rsid w:val="00B9759F"/>
    <w:rsid w:val="00BA08E5"/>
    <w:rsid w:val="00BA2240"/>
    <w:rsid w:val="00BB1B5E"/>
    <w:rsid w:val="00BB7D10"/>
    <w:rsid w:val="00BE3391"/>
    <w:rsid w:val="00BE4C57"/>
    <w:rsid w:val="00BF2094"/>
    <w:rsid w:val="00C05E31"/>
    <w:rsid w:val="00C33E88"/>
    <w:rsid w:val="00C5321A"/>
    <w:rsid w:val="00D01669"/>
    <w:rsid w:val="00D7383A"/>
    <w:rsid w:val="00D87FAC"/>
    <w:rsid w:val="00D97A8A"/>
    <w:rsid w:val="00DB3DDC"/>
    <w:rsid w:val="00DB5C99"/>
    <w:rsid w:val="00DC061E"/>
    <w:rsid w:val="00DC5DAB"/>
    <w:rsid w:val="00DE5247"/>
    <w:rsid w:val="00E07277"/>
    <w:rsid w:val="00E309FA"/>
    <w:rsid w:val="00E604D3"/>
    <w:rsid w:val="00E63275"/>
    <w:rsid w:val="00E75797"/>
    <w:rsid w:val="00E9637E"/>
    <w:rsid w:val="00EC0EFE"/>
    <w:rsid w:val="00F06260"/>
    <w:rsid w:val="00F36855"/>
    <w:rsid w:val="00F44EB4"/>
    <w:rsid w:val="00F47491"/>
    <w:rsid w:val="00FB1139"/>
    <w:rsid w:val="00FC0B05"/>
    <w:rsid w:val="00FE6910"/>
    <w:rsid w:val="00FF1B74"/>
    <w:rsid w:val="00FF6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B897F2"/>
  <w15:chartTrackingRefBased/>
  <w15:docId w15:val="{6962F168-0A02-FD45-B63F-A1563DB1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7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C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C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C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C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C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C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C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C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7C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C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C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C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C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C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C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CCE"/>
    <w:rPr>
      <w:rFonts w:eastAsiaTheme="majorEastAsia" w:cstheme="majorBidi"/>
      <w:color w:val="272727" w:themeColor="text1" w:themeTint="D8"/>
    </w:rPr>
  </w:style>
  <w:style w:type="paragraph" w:styleId="Title">
    <w:name w:val="Title"/>
    <w:basedOn w:val="Normal"/>
    <w:next w:val="Normal"/>
    <w:link w:val="TitleChar"/>
    <w:uiPriority w:val="10"/>
    <w:qFormat/>
    <w:rsid w:val="00377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C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C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CCE"/>
    <w:pPr>
      <w:spacing w:before="160"/>
      <w:jc w:val="center"/>
    </w:pPr>
    <w:rPr>
      <w:i/>
      <w:iCs/>
      <w:color w:val="404040" w:themeColor="text1" w:themeTint="BF"/>
    </w:rPr>
  </w:style>
  <w:style w:type="character" w:customStyle="1" w:styleId="QuoteChar">
    <w:name w:val="Quote Char"/>
    <w:basedOn w:val="DefaultParagraphFont"/>
    <w:link w:val="Quote"/>
    <w:uiPriority w:val="29"/>
    <w:rsid w:val="00377CCE"/>
    <w:rPr>
      <w:i/>
      <w:iCs/>
      <w:color w:val="404040" w:themeColor="text1" w:themeTint="BF"/>
    </w:rPr>
  </w:style>
  <w:style w:type="paragraph" w:styleId="ListParagraph">
    <w:name w:val="List Paragraph"/>
    <w:basedOn w:val="Normal"/>
    <w:uiPriority w:val="34"/>
    <w:qFormat/>
    <w:rsid w:val="00377CCE"/>
    <w:pPr>
      <w:ind w:left="720"/>
      <w:contextualSpacing/>
    </w:pPr>
  </w:style>
  <w:style w:type="character" w:styleId="IntenseEmphasis">
    <w:name w:val="Intense Emphasis"/>
    <w:basedOn w:val="DefaultParagraphFont"/>
    <w:uiPriority w:val="21"/>
    <w:qFormat/>
    <w:rsid w:val="00377CCE"/>
    <w:rPr>
      <w:i/>
      <w:iCs/>
      <w:color w:val="0F4761" w:themeColor="accent1" w:themeShade="BF"/>
    </w:rPr>
  </w:style>
  <w:style w:type="paragraph" w:styleId="IntenseQuote">
    <w:name w:val="Intense Quote"/>
    <w:basedOn w:val="Normal"/>
    <w:next w:val="Normal"/>
    <w:link w:val="IntenseQuoteChar"/>
    <w:uiPriority w:val="30"/>
    <w:qFormat/>
    <w:rsid w:val="00377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CCE"/>
    <w:rPr>
      <w:i/>
      <w:iCs/>
      <w:color w:val="0F4761" w:themeColor="accent1" w:themeShade="BF"/>
    </w:rPr>
  </w:style>
  <w:style w:type="character" w:styleId="IntenseReference">
    <w:name w:val="Intense Reference"/>
    <w:basedOn w:val="DefaultParagraphFont"/>
    <w:uiPriority w:val="32"/>
    <w:qFormat/>
    <w:rsid w:val="00377CCE"/>
    <w:rPr>
      <w:b/>
      <w:bCs/>
      <w:smallCaps/>
      <w:color w:val="0F4761" w:themeColor="accent1" w:themeShade="BF"/>
      <w:spacing w:val="5"/>
    </w:rPr>
  </w:style>
  <w:style w:type="character" w:styleId="Hyperlink">
    <w:name w:val="Hyperlink"/>
    <w:basedOn w:val="DefaultParagraphFont"/>
    <w:uiPriority w:val="99"/>
    <w:unhideWhenUsed/>
    <w:rsid w:val="007E51CD"/>
    <w:rPr>
      <w:color w:val="467886" w:themeColor="hyperlink"/>
      <w:u w:val="single"/>
    </w:rPr>
  </w:style>
  <w:style w:type="character" w:styleId="UnresolvedMention">
    <w:name w:val="Unresolved Mention"/>
    <w:basedOn w:val="DefaultParagraphFont"/>
    <w:uiPriority w:val="99"/>
    <w:semiHidden/>
    <w:unhideWhenUsed/>
    <w:rsid w:val="007E5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1739</Words>
  <Characters>9916</Characters>
  <Application>Microsoft Office Word</Application>
  <DocSecurity>0</DocSecurity>
  <Lines>82</Lines>
  <Paragraphs>23</Paragraphs>
  <ScaleCrop>false</ScaleCrop>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Anjum</dc:creator>
  <cp:keywords/>
  <dc:description/>
  <cp:lastModifiedBy>Natasha Anjum</cp:lastModifiedBy>
  <cp:revision>2</cp:revision>
  <dcterms:created xsi:type="dcterms:W3CDTF">2025-12-24T16:20:00Z</dcterms:created>
  <dcterms:modified xsi:type="dcterms:W3CDTF">2025-12-24T16:20:00Z</dcterms:modified>
</cp:coreProperties>
</file>