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8A8665">
      <w:pPr>
        <w:jc w:val="center"/>
        <w:rPr>
          <w:rFonts w:hint="default" w:ascii="Times New Roman" w:hAnsi="Times New Roman" w:eastAsia="SimSun" w:cs="Times New Roman"/>
          <w:b/>
          <w:bCs/>
          <w:i/>
          <w:iCs/>
          <w:sz w:val="32"/>
          <w:szCs w:val="32"/>
          <w:u w:val="none"/>
          <w:lang w:val="en-US"/>
        </w:rPr>
      </w:pPr>
      <w:r>
        <w:rPr>
          <w:rFonts w:hint="default" w:ascii="Times New Roman" w:hAnsi="Times New Roman" w:eastAsia="SimSun" w:cs="Times New Roman"/>
          <w:b/>
          <w:bCs/>
          <w:i/>
          <w:iCs/>
          <w:sz w:val="32"/>
          <w:szCs w:val="32"/>
          <w:u w:val="none"/>
          <w:lang w:val="en-US"/>
        </w:rPr>
        <w:t>PRIZE ESSAY</w:t>
      </w:r>
      <w:r>
        <w:rPr>
          <w:rFonts w:hint="default" w:ascii="Times New Roman" w:hAnsi="Times New Roman" w:eastAsia="SimSun" w:cs="Times New Roman"/>
          <w:b/>
          <w:bCs/>
          <w:i/>
          <w:iCs/>
          <w:sz w:val="32"/>
          <w:szCs w:val="32"/>
          <w:u w:val="none"/>
          <w:lang w:val="en-US"/>
        </w:rPr>
        <w:br w:type="textWrapping"/>
      </w:r>
      <w:r>
        <w:rPr>
          <w:rFonts w:hint="default" w:ascii="Times New Roman" w:hAnsi="Times New Roman" w:eastAsia="SimSun" w:cs="Times New Roman"/>
          <w:b/>
          <w:bCs/>
          <w:i/>
          <w:iCs/>
          <w:sz w:val="32"/>
          <w:szCs w:val="32"/>
          <w:u w:val="none"/>
          <w:lang w:val="en-US"/>
        </w:rPr>
        <w:br w:type="textWrapping"/>
      </w:r>
    </w:p>
    <w:p w14:paraId="4A7C63DB">
      <w:pPr>
        <w:jc w:val="center"/>
        <w:rPr>
          <w:rFonts w:hint="default" w:ascii="Times New Roman" w:hAnsi="Times New Roman" w:eastAsia="SimSun" w:cs="Times New Roman"/>
          <w:b/>
          <w:bCs/>
          <w:i/>
          <w:iCs/>
          <w:sz w:val="32"/>
          <w:szCs w:val="32"/>
          <w:u w:val="single"/>
          <w:lang w:val="en-US"/>
        </w:rPr>
      </w:pPr>
      <w:r>
        <w:rPr>
          <w:rFonts w:hint="default" w:ascii="Times New Roman" w:hAnsi="Times New Roman" w:eastAsia="SimSun" w:cs="Times New Roman"/>
          <w:b/>
          <w:bCs/>
          <w:i/>
          <w:iCs/>
          <w:sz w:val="32"/>
          <w:szCs w:val="32"/>
          <w:u w:val="none"/>
          <w:lang w:val="en-US"/>
        </w:rPr>
        <w:t>BY : Samra Khaksar</w:t>
      </w:r>
      <w:bookmarkStart w:id="0" w:name="_GoBack"/>
      <w:bookmarkEnd w:id="0"/>
      <w:r>
        <w:rPr>
          <w:rFonts w:hint="default" w:ascii="Times New Roman" w:hAnsi="Times New Roman" w:eastAsia="SimSun" w:cs="Times New Roman"/>
          <w:b/>
          <w:bCs/>
          <w:i/>
          <w:iCs/>
          <w:sz w:val="32"/>
          <w:szCs w:val="32"/>
          <w:u w:val="none"/>
          <w:lang w:val="en-US"/>
        </w:rPr>
        <w:br w:type="textWrapping"/>
      </w:r>
    </w:p>
    <w:p w14:paraId="73177F15">
      <w:pPr>
        <w:jc w:val="center"/>
        <w:rPr>
          <w:rFonts w:hint="default" w:ascii="Times New Roman" w:hAnsi="Times New Roman" w:eastAsia="SimSun" w:cs="Times New Roman"/>
          <w:b/>
          <w:bCs/>
          <w:i/>
          <w:iCs/>
          <w:sz w:val="32"/>
          <w:szCs w:val="32"/>
          <w:u w:val="single"/>
        </w:rPr>
      </w:pPr>
    </w:p>
    <w:p w14:paraId="242E886E">
      <w:pPr>
        <w:jc w:val="center"/>
        <w:rPr>
          <w:rFonts w:hint="default" w:ascii="Times New Roman" w:hAnsi="Times New Roman" w:eastAsia="SimSun" w:cs="Times New Roman"/>
          <w:b/>
          <w:bCs/>
          <w:i/>
          <w:iCs/>
          <w:sz w:val="32"/>
          <w:szCs w:val="32"/>
          <w:u w:val="single"/>
        </w:rPr>
      </w:pPr>
      <w:r>
        <w:rPr>
          <w:rFonts w:hint="default" w:ascii="Times New Roman" w:hAnsi="Times New Roman" w:eastAsia="SimSun" w:cs="Times New Roman"/>
          <w:b/>
          <w:bCs/>
          <w:i/>
          <w:iCs/>
          <w:sz w:val="32"/>
          <w:szCs w:val="32"/>
          <w:u w:val="single"/>
        </w:rPr>
        <w:t>Ending Exploitative Taxation: A Zakat-Based System for Justice, Economic Growth and Welfare for All</w:t>
      </w:r>
    </w:p>
    <w:p w14:paraId="15321047">
      <w:pPr>
        <w:jc w:val="center"/>
        <w:rPr>
          <w:rFonts w:hint="default" w:ascii="Times New Roman" w:hAnsi="Times New Roman" w:eastAsia="SimSun" w:cs="Times New Roman"/>
          <w:b/>
          <w:bCs/>
          <w:i/>
          <w:iCs/>
          <w:sz w:val="32"/>
          <w:szCs w:val="32"/>
          <w:u w:val="single"/>
        </w:rPr>
      </w:pPr>
    </w:p>
    <w:p w14:paraId="0DE5FFE3">
      <w:pPr>
        <w:jc w:val="both"/>
        <w:rPr>
          <w:rFonts w:hint="default" w:ascii="Times New Roman" w:hAnsi="Times New Roman" w:eastAsia="SimSun" w:cs="Times New Roman"/>
          <w:b/>
          <w:bCs/>
          <w:sz w:val="28"/>
          <w:szCs w:val="28"/>
          <w:u w:val="single"/>
        </w:rPr>
      </w:pPr>
    </w:p>
    <w:p w14:paraId="62BB6CF2">
      <w:pPr>
        <w:jc w:val="both"/>
        <w:rPr>
          <w:rFonts w:hint="default" w:ascii="Times New Roman" w:hAnsi="Times New Roman" w:eastAsia="SimSun" w:cs="Times New Roman"/>
          <w:b/>
          <w:bCs/>
          <w:sz w:val="28"/>
          <w:szCs w:val="28"/>
          <w:u w:val="single"/>
          <w:lang w:val="en-US"/>
        </w:rPr>
      </w:pPr>
      <w:r>
        <w:rPr>
          <w:rFonts w:hint="default" w:ascii="Times New Roman" w:hAnsi="Times New Roman" w:eastAsia="SimSun" w:cs="Times New Roman"/>
          <w:b/>
          <w:bCs/>
          <w:sz w:val="28"/>
          <w:szCs w:val="28"/>
          <w:u w:val="single"/>
        </w:rPr>
        <w:t>Introduction: The Crisis of Exploitative Taxation</w:t>
      </w:r>
    </w:p>
    <w:p w14:paraId="01BC84C5">
      <w:pPr>
        <w:jc w:val="both"/>
        <w:rPr>
          <w:rFonts w:hint="default" w:ascii="Times New Roman" w:hAnsi="Times New Roman" w:cs="Times New Roman"/>
          <w:sz w:val="24"/>
          <w:szCs w:val="24"/>
        </w:rPr>
      </w:pPr>
      <w:r>
        <w:rPr>
          <w:rFonts w:hint="default" w:ascii="Times New Roman" w:hAnsi="Times New Roman" w:cs="Times New Roman"/>
          <w:sz w:val="24"/>
          <w:szCs w:val="24"/>
        </w:rPr>
        <w:t>The long economic crisis in Pakistan is the narrative not only of fiscal mismanagement but also of injustice embedded in the internal structures of the taxation system. The most impoverished families in all regions of the country end up paying the state inappropriate proportions in the form of indirect taxes on fuel, food, utilities, and other daily necessities. These taxes make up over 60 percent of the federal revenue</w:t>
      </w:r>
      <w:r>
        <w:rPr>
          <w:rStyle w:val="5"/>
          <w:rFonts w:hint="default" w:ascii="Times New Roman" w:hAnsi="Times New Roman" w:cs="Times New Roman"/>
          <w:sz w:val="24"/>
          <w:szCs w:val="24"/>
        </w:rPr>
        <w:footnoteReference w:id="0"/>
      </w:r>
      <w:r>
        <w:rPr>
          <w:rFonts w:hint="default" w:ascii="Times New Roman" w:hAnsi="Times New Roman" w:cs="Times New Roman"/>
          <w:sz w:val="24"/>
          <w:szCs w:val="24"/>
        </w:rPr>
        <w:t xml:space="preserve"> even though they are the only type of taxation that has been acknowledged by the economic theory as the most retrogressive tax. In the meantime a combination of selective exemptions, negotiated settlements, and structural loopholes has been coalescing to enable the concentration of wealth in a few hands. In a nation where merely 2.2 million citizens are registered to pay their taxes Federal Board of Revenue (FBR)</w:t>
      </w:r>
      <w:r>
        <w:rPr>
          <w:rStyle w:val="5"/>
          <w:rFonts w:hint="default" w:ascii="Times New Roman" w:hAnsi="Times New Roman" w:cs="Times New Roman"/>
          <w:sz w:val="24"/>
          <w:szCs w:val="24"/>
        </w:rPr>
        <w:footnoteReference w:id="1"/>
      </w:r>
      <w:r>
        <w:rPr>
          <w:rFonts w:hint="default" w:ascii="Times New Roman" w:hAnsi="Times New Roman" w:cs="Times New Roman"/>
          <w:sz w:val="24"/>
          <w:szCs w:val="24"/>
        </w:rPr>
        <w:t>, Active Taxpayers List 2023., with the tax-to-GDP ratio being one of the lowest in the area, there is a basic moral crisis: the poor are overtaxed, and the rich undertaxed.</w:t>
      </w:r>
    </w:p>
    <w:p w14:paraId="341922BF">
      <w:pPr>
        <w:jc w:val="both"/>
        <w:rPr>
          <w:rFonts w:hint="default" w:ascii="Times New Roman" w:hAnsi="Times New Roman" w:cs="Times New Roman"/>
          <w:sz w:val="24"/>
          <w:szCs w:val="24"/>
        </w:rPr>
      </w:pPr>
    </w:p>
    <w:p w14:paraId="25295499">
      <w:pPr>
        <w:jc w:val="both"/>
        <w:rPr>
          <w:rFonts w:hint="default" w:ascii="Times New Roman" w:hAnsi="Times New Roman" w:cs="Times New Roman"/>
          <w:sz w:val="24"/>
          <w:szCs w:val="24"/>
        </w:rPr>
      </w:pPr>
      <w:r>
        <w:rPr>
          <w:rFonts w:hint="default" w:ascii="Times New Roman" w:hAnsi="Times New Roman" w:cs="Times New Roman"/>
          <w:sz w:val="24"/>
          <w:szCs w:val="24"/>
        </w:rPr>
        <w:t>This lack of balance begs a tremendous question: How can the justice, welfare, and growth be maintained long when the fiscal bases of a society encourage inequality? The initiative has found a promising solution in the Islamic economic paradigm itself: a zakat-based regime that does not impose a burden on the poor but on those with excess wealth instead, changes charity into a right and makes fiscal policy ethically accountable. This kind of system does provide spiritual foundations, but also a viable economic alternative able entirely to alleviate poverty, jump start investment and create a welfare state based on dignity and not dependency.</w:t>
      </w:r>
    </w:p>
    <w:p w14:paraId="4EFD90AF">
      <w:pPr>
        <w:jc w:val="both"/>
        <w:rPr>
          <w:rFonts w:hint="default" w:ascii="Times New Roman" w:hAnsi="Times New Roman" w:cs="Times New Roman"/>
          <w:sz w:val="24"/>
          <w:szCs w:val="24"/>
        </w:rPr>
      </w:pPr>
    </w:p>
    <w:p w14:paraId="6C713FF4">
      <w:pPr>
        <w:jc w:val="both"/>
        <w:rPr>
          <w:rFonts w:hint="default" w:ascii="Times New Roman" w:hAnsi="Times New Roman" w:cs="Times New Roman"/>
          <w:b/>
          <w:bCs/>
          <w:sz w:val="28"/>
          <w:szCs w:val="28"/>
          <w:u w:val="single"/>
        </w:rPr>
      </w:pPr>
      <w:r>
        <w:rPr>
          <w:rFonts w:hint="default" w:ascii="Times New Roman" w:hAnsi="Times New Roman" w:cs="Times New Roman"/>
          <w:b/>
          <w:bCs/>
          <w:sz w:val="28"/>
          <w:szCs w:val="28"/>
          <w:u w:val="single"/>
        </w:rPr>
        <w:t>Structural Inequities in Pakistan’s Current Tax System</w:t>
      </w:r>
    </w:p>
    <w:p w14:paraId="06779F2B">
      <w:pPr>
        <w:jc w:val="both"/>
        <w:rPr>
          <w:rFonts w:hint="default" w:ascii="Times New Roman" w:hAnsi="Times New Roman" w:cs="Times New Roman"/>
          <w:sz w:val="24"/>
          <w:szCs w:val="24"/>
        </w:rPr>
      </w:pPr>
      <w:r>
        <w:rPr>
          <w:rFonts w:hint="default" w:ascii="Times New Roman" w:hAnsi="Times New Roman" w:cs="Times New Roman"/>
          <w:sz w:val="24"/>
          <w:szCs w:val="24"/>
        </w:rPr>
        <w:t>The fiscal imbalance is severe in Pakistan, as a decade-long history of low tax-to-GDP ratio of approximately 9 to 10 percent</w:t>
      </w:r>
      <w:r>
        <w:rPr>
          <w:rStyle w:val="5"/>
          <w:rFonts w:hint="default" w:ascii="Times New Roman" w:hAnsi="Times New Roman" w:cs="Times New Roman"/>
          <w:sz w:val="24"/>
          <w:szCs w:val="24"/>
        </w:rPr>
        <w:footnoteReference w:id="2"/>
      </w:r>
      <w:r>
        <w:rPr>
          <w:rFonts w:hint="default" w:ascii="Times New Roman" w:hAnsi="Times New Roman" w:cs="Times New Roman"/>
          <w:sz w:val="24"/>
          <w:szCs w:val="24"/>
        </w:rPr>
        <w:t xml:space="preserve"> points to the seriousness of the situation. In this general context of revenue scarcity, common citizens are subjected to taxation of a great variety of products and services. By comparison, the agricultural sector only represents a less than 1 percent of the total tax payment</w:t>
      </w:r>
      <w:r>
        <w:rPr>
          <w:rStyle w:val="5"/>
          <w:rFonts w:hint="default" w:ascii="Times New Roman" w:hAnsi="Times New Roman" w:cs="Times New Roman"/>
          <w:sz w:val="24"/>
          <w:szCs w:val="24"/>
        </w:rPr>
        <w:footnoteReference w:id="3"/>
      </w:r>
      <w:r>
        <w:rPr>
          <w:rFonts w:hint="default" w:ascii="Times New Roman" w:hAnsi="Times New Roman" w:cs="Times New Roman"/>
          <w:sz w:val="24"/>
          <w:szCs w:val="24"/>
        </w:rPr>
        <w:t xml:space="preserve"> even though it takes approximately 20 percent of GDP. During a population of more than 240 million, just 2.2 million file tax returns. These statistics indicate a system whereby the elites escape their responsibility as the citizens with low incomes take a disproportionate responsibility. An architecture of fiscal safeguarding privilege and penalizing weakness cannot endure since it poses a risk to social dissatisfaction and macroeconomic instability. The taxation system of Pakistan is characterized by a habitual inefficiency of the administration. IMF approximates that tax evasion, exemptions and leakages end up making the GDP of the country fall by close to 6 percent every year</w:t>
      </w:r>
      <w:r>
        <w:rPr>
          <w:rStyle w:val="5"/>
          <w:rFonts w:hint="default" w:ascii="Times New Roman" w:hAnsi="Times New Roman" w:cs="Times New Roman"/>
          <w:sz w:val="24"/>
          <w:szCs w:val="24"/>
        </w:rPr>
        <w:footnoteReference w:id="4"/>
      </w:r>
      <w:r>
        <w:rPr>
          <w:rFonts w:hint="default" w:ascii="Times New Roman" w:hAnsi="Times New Roman" w:cs="Times New Roman"/>
          <w:sz w:val="24"/>
          <w:szCs w:val="24"/>
        </w:rPr>
        <w:t xml:space="preserve"> which is among the highest levels ever witnessed in the developing world. The poor documentation, informal cash markets and politically negotiated tax waivers create a system where those with power have compliance which is voluntary and only a requirement to those depending on the formal goods and services. As a result, the economy is distorted forcing the state to constantly make consumption adjustments in the form of fuel levies, electricity surcharges and sales taxes to achieve the revenue targets. This indirect taxation does not only frustrate aggregate purchasing power but it demoralizes businesses, discourages investment as well as encouraging resentment against the state among the people.</w:t>
      </w:r>
    </w:p>
    <w:p w14:paraId="773D83DB">
      <w:pPr>
        <w:jc w:val="both"/>
        <w:rPr>
          <w:rFonts w:hint="default" w:ascii="Times New Roman" w:hAnsi="Times New Roman" w:cs="Times New Roman"/>
        </w:rPr>
      </w:pPr>
    </w:p>
    <w:p w14:paraId="082C7374">
      <w:pPr>
        <w:jc w:val="both"/>
        <w:rPr>
          <w:rFonts w:hint="default" w:ascii="Times New Roman" w:hAnsi="Times New Roman" w:cs="Times New Roman"/>
          <w:b/>
          <w:bCs/>
          <w:sz w:val="28"/>
          <w:szCs w:val="28"/>
          <w:u w:val="single"/>
        </w:rPr>
      </w:pPr>
      <w:r>
        <w:rPr>
          <w:rFonts w:hint="default" w:ascii="Times New Roman" w:hAnsi="Times New Roman" w:cs="Times New Roman"/>
          <w:b/>
          <w:bCs/>
          <w:sz w:val="28"/>
          <w:szCs w:val="28"/>
          <w:u w:val="single"/>
        </w:rPr>
        <w:t>Zakat as a Morally Grounded Fiscal Alternative</w:t>
      </w:r>
    </w:p>
    <w:p w14:paraId="12E97EC8">
      <w:pPr>
        <w:jc w:val="both"/>
        <w:rPr>
          <w:rFonts w:hint="default" w:ascii="Times New Roman" w:hAnsi="Times New Roman" w:cs="Times New Roman"/>
          <w:sz w:val="24"/>
          <w:szCs w:val="24"/>
        </w:rPr>
      </w:pPr>
      <w:r>
        <w:rPr>
          <w:rFonts w:hint="default" w:ascii="Times New Roman" w:hAnsi="Times New Roman" w:cs="Times New Roman"/>
          <w:sz w:val="24"/>
          <w:szCs w:val="24"/>
        </w:rPr>
        <w:t>It is in this background that a change to a zakat-based fiscal model is logical, as well as morally acceptable. Zakat as one of the pillars of Islamic social philosophy promotes the circulation of wealth as opposed to amassing it among the few. Against a background of stark contrasts between the draconian laws of taxation, zakat is dependent on moral obligation and spiritual commitment. The Quran says,</w:t>
      </w:r>
      <w:r>
        <w:rPr>
          <w:rFonts w:hint="default" w:ascii="Times New Roman" w:hAnsi="Times New Roman" w:cs="Times New Roman"/>
          <w:sz w:val="24"/>
          <w:szCs w:val="24"/>
          <w:lang w:val="en-US"/>
        </w:rPr>
        <w:t xml:space="preserve"> </w:t>
      </w:r>
      <w:r>
        <w:rPr>
          <w:rFonts w:hint="default" w:ascii="Times New Roman" w:hAnsi="Times New Roman" w:cs="Times New Roman"/>
          <w:b/>
          <w:bCs/>
          <w:i/>
          <w:iCs/>
          <w:sz w:val="24"/>
          <w:szCs w:val="24"/>
        </w:rPr>
        <w:t>“And in their wealth there is a known right for the needy and the deprived”</w:t>
      </w:r>
      <w:r>
        <w:rPr>
          <w:rFonts w:hint="default" w:ascii="Times New Roman" w:hAnsi="Times New Roman" w:cs="Times New Roman"/>
          <w:sz w:val="24"/>
          <w:szCs w:val="24"/>
        </w:rPr>
        <w:t xml:space="preserve"> </w:t>
      </w:r>
      <w:r>
        <w:rPr>
          <w:rFonts w:hint="default" w:ascii="Times New Roman" w:hAnsi="Times New Roman" w:cs="Times New Roman"/>
          <w:i/>
          <w:iCs/>
          <w:sz w:val="24"/>
          <w:szCs w:val="24"/>
        </w:rPr>
        <w:t>(Qur’an 70:24</w:t>
      </w:r>
      <w:r>
        <w:rPr>
          <w:rFonts w:hint="default" w:ascii="Times New Roman" w:hAnsi="Times New Roman" w:cs="Times New Roman"/>
          <w:i/>
          <w:iCs/>
          <w:sz w:val="24"/>
          <w:szCs w:val="24"/>
          <w:lang w:val="en-US"/>
        </w:rPr>
        <w:t>-</w:t>
      </w:r>
      <w:r>
        <w:rPr>
          <w:rFonts w:hint="default" w:ascii="Times New Roman" w:hAnsi="Times New Roman" w:cs="Times New Roman"/>
          <w:i/>
          <w:iCs/>
          <w:sz w:val="24"/>
          <w:szCs w:val="24"/>
        </w:rPr>
        <w:t>25),</w:t>
      </w:r>
      <w:r>
        <w:rPr>
          <w:rFonts w:hint="default" w:ascii="Times New Roman" w:hAnsi="Times New Roman" w:cs="Times New Roman"/>
          <w:sz w:val="24"/>
          <w:szCs w:val="24"/>
        </w:rPr>
        <w:t>and hence zakat is a right and not an act of charity. The main economic advantage of the zakat based system would be that the poor would be left out altogether and that the burden of financial responsibility would be distributed to those with excess wealth rather than through indirect taxes as it is currently implemented where all citizens are targeted regardless of income. Islamic economics research has estimated that 25-30 percent of household wealth in Muslim societies is idle by freezing the wealth as gold, saving, or unproductive capital.</w:t>
      </w:r>
      <w:r>
        <w:rPr>
          <w:rStyle w:val="5"/>
          <w:rFonts w:hint="default" w:ascii="Times New Roman" w:hAnsi="Times New Roman" w:cs="Times New Roman"/>
          <w:sz w:val="24"/>
          <w:szCs w:val="24"/>
        </w:rPr>
        <w:footnoteReference w:id="5"/>
      </w:r>
      <w:r>
        <w:rPr>
          <w:rFonts w:hint="default" w:ascii="Times New Roman" w:hAnsi="Times New Roman" w:cs="Times New Roman"/>
          <w:sz w:val="24"/>
          <w:szCs w:val="24"/>
        </w:rPr>
        <w:t xml:space="preserve"> Zakat also acts as an incentive to hoarding by placing the accumulated wealth under an annual liability and this would positively encourage households to either invest their capital or offer it as a common good. The realization of latent resources results in the emergence of multiplier effects across the entire economy: more liquidity, more little-scale investment, more consumption by vulnerable populations. Contrary to traditional taxation, which decreases the purchasing capacity, zakat creates a bottom-up economical activity.</w:t>
      </w:r>
    </w:p>
    <w:p w14:paraId="6A35A7D8">
      <w:pPr>
        <w:jc w:val="both"/>
        <w:rPr>
          <w:rFonts w:hint="default" w:ascii="Times New Roman" w:hAnsi="Times New Roman" w:cs="Times New Roman"/>
        </w:rPr>
      </w:pPr>
    </w:p>
    <w:p w14:paraId="1CA76D0B">
      <w:pPr>
        <w:jc w:val="both"/>
        <w:rPr>
          <w:rFonts w:hint="default" w:ascii="Times New Roman" w:hAnsi="Times New Roman" w:cs="Times New Roman"/>
          <w:b/>
          <w:bCs/>
          <w:sz w:val="28"/>
          <w:szCs w:val="28"/>
          <w:u w:val="single"/>
        </w:rPr>
      </w:pPr>
      <w:r>
        <w:rPr>
          <w:rFonts w:hint="default" w:ascii="Times New Roman" w:hAnsi="Times New Roman" w:cs="Times New Roman"/>
          <w:b/>
          <w:bCs/>
          <w:sz w:val="28"/>
          <w:szCs w:val="28"/>
          <w:u w:val="single"/>
        </w:rPr>
        <w:t>Economic Potential of a Zakat-Based System</w:t>
      </w:r>
    </w:p>
    <w:p w14:paraId="3F813BD5">
      <w:pPr>
        <w:jc w:val="both"/>
        <w:rPr>
          <w:rFonts w:hint="default" w:ascii="Times New Roman" w:hAnsi="Times New Roman" w:cs="Times New Roman"/>
          <w:sz w:val="24"/>
          <w:szCs w:val="24"/>
        </w:rPr>
      </w:pPr>
      <w:r>
        <w:rPr>
          <w:rFonts w:hint="default" w:ascii="Times New Roman" w:hAnsi="Times New Roman" w:cs="Times New Roman"/>
          <w:sz w:val="24"/>
          <w:szCs w:val="24"/>
        </w:rPr>
        <w:t>According to the evidence given by Pakistan Institute of Development Economics, it is possible to create approximately Rs. 650-750 billion in form of a structured zakat implementation</w:t>
      </w:r>
      <w:r>
        <w:rPr>
          <w:rStyle w:val="5"/>
          <w:rFonts w:hint="default" w:ascii="Times New Roman" w:hAnsi="Times New Roman" w:cs="Times New Roman"/>
          <w:sz w:val="24"/>
          <w:szCs w:val="24"/>
        </w:rPr>
        <w:footnoteReference w:id="6"/>
      </w:r>
      <w:r>
        <w:rPr>
          <w:rFonts w:hint="default" w:ascii="Times New Roman" w:hAnsi="Times New Roman" w:cs="Times New Roman"/>
          <w:sz w:val="24"/>
          <w:szCs w:val="24"/>
        </w:rPr>
        <w:t xml:space="preserve"> in Pakistan that is sufficient to reduce the reliance on retrogressive taxes such as the GST and petroleum taxes. In addition to revenue issues, zakat is able to enhance growth through the diversion of latent wealth into productive channels: rather than the imposition of successive zakat taxes on unproductive assets, incentives can be accompanied by productive investment in industry, agriculture and trade. Another benefit of the poverty-reducing power of zakat is supported by historical events: when managed effectively, it is said that during the caliphate of Umar ibn Abd al-Aziz this had risen to a point where there was no recipient of zakat because a productive economic activity was being pursued.</w:t>
      </w:r>
      <w:r>
        <w:rPr>
          <w:rStyle w:val="5"/>
          <w:rFonts w:hint="default" w:ascii="Times New Roman" w:hAnsi="Times New Roman" w:cs="Times New Roman"/>
          <w:sz w:val="24"/>
          <w:szCs w:val="24"/>
        </w:rPr>
        <w:footnoteReference w:id="7"/>
      </w:r>
      <w:r>
        <w:rPr>
          <w:rFonts w:hint="default" w:ascii="Times New Roman" w:hAnsi="Times New Roman" w:cs="Times New Roman"/>
          <w:sz w:val="24"/>
          <w:szCs w:val="24"/>
        </w:rPr>
        <w:t xml:space="preserve"> In the area of wealth accumulation and assisting the neediest, progressive direct taxes may be focused on luxury consumption, real estate speculation, and unproductive landholdings-areas which now do not receive any substantial taxation in Pakistan. According to many economists, taxing luxury houses, costly cars and idle urban land could help to generate significant income without impacting the poor and the middle classes. In combination with zakat, this kind of structure will provide that moral imperatives and economic incentives combine in the quest to attain equity, openness, and development. </w:t>
      </w:r>
    </w:p>
    <w:p w14:paraId="57F27BAF">
      <w:pPr>
        <w:jc w:val="both"/>
        <w:rPr>
          <w:rFonts w:hint="default" w:ascii="Times New Roman" w:hAnsi="Times New Roman" w:cs="Times New Roman"/>
        </w:rPr>
      </w:pPr>
    </w:p>
    <w:p w14:paraId="38E597D9">
      <w:pPr>
        <w:jc w:val="both"/>
        <w:rPr>
          <w:rFonts w:hint="default" w:ascii="Times New Roman" w:hAnsi="Times New Roman" w:cs="Times New Roman"/>
        </w:rPr>
      </w:pPr>
      <w:r>
        <w:rPr>
          <w:rFonts w:hint="default" w:ascii="Times New Roman" w:hAnsi="Times New Roman" w:cs="Times New Roman"/>
          <w:b/>
          <w:bCs/>
          <w:sz w:val="28"/>
          <w:szCs w:val="28"/>
          <w:u w:val="single"/>
        </w:rPr>
        <w:t>Lessons from the Muslim World</w:t>
      </w:r>
    </w:p>
    <w:p w14:paraId="60B80B86">
      <w:pPr>
        <w:jc w:val="both"/>
        <w:rPr>
          <w:rFonts w:hint="default" w:ascii="Times New Roman" w:hAnsi="Times New Roman" w:cs="Times New Roman"/>
          <w:sz w:val="24"/>
          <w:szCs w:val="24"/>
        </w:rPr>
      </w:pPr>
      <w:r>
        <w:rPr>
          <w:rFonts w:hint="default" w:ascii="Times New Roman" w:hAnsi="Times New Roman" w:cs="Times New Roman"/>
          <w:sz w:val="24"/>
          <w:szCs w:val="24"/>
        </w:rPr>
        <w:t>The argument is supported by empirical case studies of the modern Muslim world. Examples include zakat institutions in Malaysia that promote vocational training, micro-enterprises and educational scholarships which drives a significant improvement in income security and social mobility.</w:t>
      </w:r>
      <w:r>
        <w:rPr>
          <w:rStyle w:val="5"/>
          <w:rFonts w:hint="default" w:ascii="Times New Roman" w:hAnsi="Times New Roman" w:cs="Times New Roman"/>
          <w:sz w:val="24"/>
          <w:szCs w:val="24"/>
        </w:rPr>
        <w:footnoteReference w:id="8"/>
      </w:r>
      <w:r>
        <w:rPr>
          <w:rFonts w:hint="default" w:ascii="Times New Roman" w:hAnsi="Times New Roman" w:cs="Times New Roman"/>
          <w:sz w:val="24"/>
          <w:szCs w:val="24"/>
        </w:rPr>
        <w:t xml:space="preserve"> In Indonesia and Sudan, zakat is part and parcel of health programs, education programs and social welfare programs and this is how zakat can be used to supplement national development programs without imposing extra burdens on the poor.</w:t>
      </w:r>
      <w:r>
        <w:rPr>
          <w:rStyle w:val="5"/>
          <w:rFonts w:hint="default" w:ascii="Times New Roman" w:hAnsi="Times New Roman" w:cs="Times New Roman"/>
          <w:sz w:val="24"/>
          <w:szCs w:val="24"/>
        </w:rPr>
        <w:footnoteReference w:id="9"/>
      </w:r>
      <w:r>
        <w:rPr>
          <w:rFonts w:hint="default" w:ascii="Times New Roman" w:hAnsi="Times New Roman" w:cs="Times New Roman"/>
          <w:sz w:val="24"/>
          <w:szCs w:val="24"/>
        </w:rPr>
        <w:t xml:space="preserve"> In the late 1980s and early 1990s, Sudan came up with one of the most elaborate zakat administrations in the modern world, whereby collection is mandatory, distribution is audited, and an annual report is presented to the parliament. The Zakat Chamber of Sudan reported that the zakat revenues increased by close to 400 percent in mid-1990s,</w:t>
      </w:r>
      <w:r>
        <w:rPr>
          <w:rStyle w:val="5"/>
          <w:rFonts w:hint="default" w:ascii="Times New Roman" w:hAnsi="Times New Roman" w:cs="Times New Roman"/>
          <w:sz w:val="24"/>
          <w:szCs w:val="24"/>
        </w:rPr>
        <w:footnoteReference w:id="10"/>
      </w:r>
      <w:r>
        <w:rPr>
          <w:rFonts w:hint="default" w:ascii="Times New Roman" w:hAnsi="Times New Roman" w:cs="Times New Roman"/>
          <w:sz w:val="24"/>
          <w:szCs w:val="24"/>
        </w:rPr>
        <w:t xml:space="preserve"> which made it possible to carry out large-scale livestock support programs, farm inputs, micro-enterprises and emergency relief. In political and economic instability, the zakat system of Sudan is a common example of the Islamic economists to illustrate how state-driven religious obligations can significantly support national welfare systems.</w:t>
      </w:r>
    </w:p>
    <w:p w14:paraId="30A2AF44">
      <w:pPr>
        <w:jc w:val="both"/>
        <w:rPr>
          <w:rFonts w:hint="default" w:ascii="Times New Roman" w:hAnsi="Times New Roman" w:cs="Times New Roman"/>
        </w:rPr>
      </w:pPr>
    </w:p>
    <w:p w14:paraId="00F9E9DA">
      <w:pPr>
        <w:jc w:val="both"/>
        <w:rPr>
          <w:rFonts w:hint="default" w:ascii="Times New Roman" w:hAnsi="Times New Roman" w:cs="Times New Roman"/>
          <w:b/>
          <w:bCs/>
          <w:sz w:val="28"/>
          <w:szCs w:val="28"/>
          <w:u w:val="single"/>
        </w:rPr>
      </w:pPr>
      <w:r>
        <w:rPr>
          <w:rFonts w:hint="default" w:ascii="Times New Roman" w:hAnsi="Times New Roman" w:cs="Times New Roman"/>
          <w:b/>
          <w:bCs/>
          <w:sz w:val="28"/>
          <w:szCs w:val="28"/>
          <w:u w:val="single"/>
        </w:rPr>
        <w:t>Building a Dignity-Based Welfare State</w:t>
      </w:r>
    </w:p>
    <w:p w14:paraId="7D5A7B07">
      <w:pPr>
        <w:jc w:val="both"/>
        <w:rPr>
          <w:rFonts w:hint="default" w:ascii="Times New Roman" w:hAnsi="Times New Roman" w:cs="Times New Roman"/>
          <w:sz w:val="24"/>
          <w:szCs w:val="24"/>
        </w:rPr>
      </w:pPr>
      <w:r>
        <w:rPr>
          <w:rFonts w:hint="default" w:ascii="Times New Roman" w:hAnsi="Times New Roman" w:cs="Times New Roman"/>
          <w:sz w:val="24"/>
          <w:szCs w:val="24"/>
        </w:rPr>
        <w:t>A zakat-oriented system would not just serve as an addition to the welfare activities in Pakistan but can also redefine the moral contract between the state and the citizens. The digitization of zakat-via NADRA-connected systems, digital wallet, and open-systems of distribution can assist in restoring public confidence in state institutions.</w:t>
      </w:r>
      <w:r>
        <w:rPr>
          <w:rStyle w:val="5"/>
          <w:rFonts w:hint="default" w:ascii="Times New Roman" w:hAnsi="Times New Roman" w:cs="Times New Roman"/>
          <w:sz w:val="24"/>
          <w:szCs w:val="24"/>
        </w:rPr>
        <w:footnoteReference w:id="11"/>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The model will offer a progressive transition to less punitive consumption taxes, alleviating pressure on low-income households. Health care, education and social protection funded by zakat will protect the vulnerable as well as mitigate crises that are as a result of poverty. No less significant, zakat is not humiliating in providing welfare: the aid is placed as an Islamic right, rather than as a dole. A Step in the Right Direction To Equity and Shared Prosperity Zakat alone can cancel the worst of the elements of the Pakistani fiscal system. Combined with progressive taxation and interest-free financial tools such as qard al-hasan, zakat can be the foundation of the hybrid model based on ethical values and economic realism. A systematized version of zakat is therefore a decision that Pakistan faces at a crossroad of doom to pursue or rather pursue a moral framework that will advance justice, development and the greater good. Much part of the vulnerable population of Pakistan is made up of women headed households, widows, and families which are abandoned. Vocational training, microfinance, childcare and housing funded by Zakat can do a long way in empowering women who are mostly economic and social bottlenecks. Malaysia and Indonesia experience indicates women-led programs under zakat have increased household income and led to improved nutrition of children, higher school-enrollment and increased long-term mobility.</w:t>
      </w:r>
      <w:r>
        <w:rPr>
          <w:rStyle w:val="5"/>
          <w:rFonts w:hint="default" w:ascii="Times New Roman" w:hAnsi="Times New Roman" w:cs="Times New Roman"/>
          <w:sz w:val="24"/>
          <w:szCs w:val="24"/>
        </w:rPr>
        <w:footnoteReference w:id="12"/>
      </w:r>
      <w:r>
        <w:rPr>
          <w:rFonts w:hint="default" w:ascii="Times New Roman" w:hAnsi="Times New Roman" w:cs="Times New Roman"/>
          <w:sz w:val="24"/>
          <w:szCs w:val="24"/>
        </w:rPr>
        <w:t xml:space="preserve"> This is an indication that zakat can generate multi-generational dividends, and poverty cycles can be broken.</w:t>
      </w:r>
    </w:p>
    <w:p w14:paraId="54773479">
      <w:pPr>
        <w:jc w:val="both"/>
        <w:rPr>
          <w:rFonts w:hint="default" w:ascii="Times New Roman" w:hAnsi="Times New Roman" w:cs="Times New Roman"/>
        </w:rPr>
      </w:pPr>
    </w:p>
    <w:p w14:paraId="131CCE12">
      <w:pPr>
        <w:jc w:val="both"/>
        <w:rPr>
          <w:rFonts w:hint="default" w:ascii="Times New Roman" w:hAnsi="Times New Roman" w:cs="Times New Roman"/>
        </w:rPr>
      </w:pPr>
      <w:r>
        <w:rPr>
          <w:rFonts w:hint="default" w:ascii="Times New Roman" w:hAnsi="Times New Roman" w:cs="Times New Roman"/>
          <w:b/>
          <w:bCs/>
          <w:sz w:val="28"/>
          <w:szCs w:val="28"/>
          <w:u w:val="single"/>
          <w:lang w:val="en-US"/>
        </w:rPr>
        <w:t>Conclusion</w:t>
      </w:r>
    </w:p>
    <w:p w14:paraId="56A21AC8">
      <w:pPr>
        <w:jc w:val="both"/>
        <w:rPr>
          <w:rFonts w:hint="default" w:ascii="Times New Roman" w:hAnsi="Times New Roman" w:cs="Times New Roman"/>
          <w:sz w:val="24"/>
          <w:szCs w:val="24"/>
        </w:rPr>
      </w:pPr>
      <w:r>
        <w:rPr>
          <w:rFonts w:hint="default" w:ascii="Times New Roman" w:hAnsi="Times New Roman" w:cs="Times New Roman"/>
          <w:sz w:val="24"/>
          <w:szCs w:val="24"/>
        </w:rPr>
        <w:t>The malfunctions of the Pakistani taxation system are not isolated issues but signs of an economic order that insulates privilege to the disadvantage of the dispossessed. The abolition of usury taxation, then, needs not only a reformist administration, but it needs an idea. Such recalibration is provided under a zakat-based fiscal paradigm. Redistribution can be achieved by transferring the poor to the rich, ensuring that the process becomes transparent and providing the economic enterprise with the boost of mobilizing the hoarded capital, which will be crucial to a fair and dignified society.</w:t>
      </w:r>
    </w:p>
    <w:p w14:paraId="6FBC0BE0">
      <w:pPr>
        <w:jc w:val="both"/>
        <w:rPr>
          <w:rFonts w:hint="default" w:ascii="Times New Roman" w:hAnsi="Times New Roman" w:cs="Times New Roman"/>
          <w:sz w:val="24"/>
          <w:szCs w:val="24"/>
        </w:rPr>
      </w:pPr>
    </w:p>
    <w:p w14:paraId="0D36AB9C">
      <w:pPr>
        <w:jc w:val="both"/>
        <w:rPr>
          <w:rFonts w:hint="default" w:ascii="Times New Roman" w:hAnsi="Times New Roman" w:cs="Times New Roman"/>
          <w:sz w:val="24"/>
          <w:szCs w:val="24"/>
        </w:rPr>
      </w:pPr>
      <w:r>
        <w:rPr>
          <w:rFonts w:hint="default" w:ascii="Times New Roman" w:hAnsi="Times New Roman" w:cs="Times New Roman"/>
          <w:sz w:val="24"/>
          <w:szCs w:val="24"/>
        </w:rPr>
        <w:t>It has been proved by empirical international evidence including Malaysia, Indonesia cases that institutionalized zakat can be effective in alleviating poverty and expanding access to education, medical care, and livelihoods. Pakistan can develop a hybrid system rooted in ethics as well as being economically viable when progressive taxation and interest-free financial instruments are considered in conjunction.</w:t>
      </w:r>
    </w:p>
    <w:p w14:paraId="716FDEDB">
      <w:pPr>
        <w:jc w:val="both"/>
        <w:rPr>
          <w:rFonts w:hint="default" w:ascii="Times New Roman" w:hAnsi="Times New Roman" w:cs="Times New Roman"/>
          <w:sz w:val="24"/>
          <w:szCs w:val="24"/>
        </w:rPr>
      </w:pPr>
    </w:p>
    <w:p w14:paraId="2476E85D">
      <w:pPr>
        <w:jc w:val="both"/>
        <w:rPr>
          <w:rFonts w:hint="default" w:ascii="Times New Roman" w:hAnsi="Times New Roman" w:cs="Times New Roman"/>
          <w:sz w:val="24"/>
          <w:szCs w:val="24"/>
        </w:rPr>
      </w:pPr>
      <w:r>
        <w:rPr>
          <w:rFonts w:hint="default" w:ascii="Times New Roman" w:hAnsi="Times New Roman" w:cs="Times New Roman"/>
          <w:sz w:val="24"/>
          <w:szCs w:val="24"/>
        </w:rPr>
        <w:t>Finally, the perspectives of a zakat-based economy goes well beyond the financial aspect into a civilizational one: welfare will become a right, dignity will be safeguarded, burdens and growth will be distributed fairly across the levels instead of few privileged individuals. When followed in good faith, and directed by candor and vision, zakat can truly transform the fiscal fortunes of Pakistan into the form of an economy that is resilient, fair, and immensely humane.</w:t>
      </w:r>
    </w:p>
    <w:p w14:paraId="53095E9E">
      <w:pPr>
        <w:jc w:val="both"/>
        <w:rPr>
          <w:rFonts w:hint="default" w:ascii="Times New Roman" w:hAnsi="Times New Roman" w:cs="Times New Roman"/>
          <w:sz w:val="24"/>
          <w:szCs w:val="24"/>
        </w:rPr>
      </w:pPr>
    </w:p>
    <w:p w14:paraId="5F0784EC">
      <w:pPr>
        <w:jc w:val="both"/>
        <w:rPr>
          <w:rFonts w:hint="default" w:ascii="Times New Roman" w:hAnsi="Times New Roman" w:cs="Times New Roman"/>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6">
    <w:p>
      <w:r>
        <w:separator/>
      </w:r>
    </w:p>
  </w:footnote>
  <w:footnote w:type="continuationSeparator" w:id="27">
    <w:p>
      <w:r>
        <w:continuationSeparator/>
      </w:r>
    </w:p>
  </w:footnote>
  <w:footnote w:id="0">
    <w:p w14:paraId="144C3862">
      <w:pPr>
        <w:pStyle w:val="6"/>
        <w:snapToGrid w:val="0"/>
      </w:pPr>
      <w:r>
        <w:rPr>
          <w:rStyle w:val="5"/>
        </w:rPr>
        <w:footnoteRef/>
      </w:r>
      <w:r>
        <w:t xml:space="preserve"> </w:t>
      </w:r>
      <w:r>
        <w:rPr>
          <w:rFonts w:hint="default" w:eastAsia="SimSun" w:cs="SimSun" w:asciiTheme="minorAscii" w:hAnsiTheme="minorAscii"/>
          <w:sz w:val="18"/>
          <w:szCs w:val="18"/>
        </w:rPr>
        <w:t xml:space="preserve">Pakistan Economic Survey 2023–24, Ministry of Finance, Government of Pakistan. </w:t>
      </w:r>
      <w:r>
        <w:rPr>
          <w:rFonts w:hint="default" w:eastAsia="SimSun" w:cs="SimSun" w:asciiTheme="minorAscii" w:hAnsiTheme="minorAscii"/>
          <w:sz w:val="18"/>
          <w:szCs w:val="18"/>
        </w:rPr>
        <w:fldChar w:fldCharType="begin"/>
      </w:r>
      <w:r>
        <w:rPr>
          <w:rFonts w:hint="default" w:eastAsia="SimSun" w:cs="SimSun" w:asciiTheme="minorAscii" w:hAnsiTheme="minorAscii"/>
          <w:sz w:val="18"/>
          <w:szCs w:val="18"/>
        </w:rPr>
        <w:instrText xml:space="preserve"> HYPERLINK "https://www.finance.gov.pk" \t "_new" </w:instrText>
      </w:r>
      <w:r>
        <w:rPr>
          <w:rFonts w:hint="default" w:eastAsia="SimSun" w:cs="SimSun" w:asciiTheme="minorAscii" w:hAnsiTheme="minorAscii"/>
          <w:sz w:val="18"/>
          <w:szCs w:val="18"/>
        </w:rPr>
        <w:fldChar w:fldCharType="separate"/>
      </w:r>
      <w:r>
        <w:rPr>
          <w:rStyle w:val="7"/>
          <w:rFonts w:hint="default" w:eastAsia="SimSun" w:cs="SimSun" w:asciiTheme="minorAscii" w:hAnsiTheme="minorAscii"/>
          <w:sz w:val="18"/>
          <w:szCs w:val="18"/>
        </w:rPr>
        <w:t>https://www.finance.gov.pk</w:t>
      </w:r>
      <w:r>
        <w:rPr>
          <w:rFonts w:hint="default" w:eastAsia="SimSun" w:cs="SimSun" w:asciiTheme="minorAscii" w:hAnsiTheme="minorAscii"/>
          <w:sz w:val="18"/>
          <w:szCs w:val="18"/>
        </w:rPr>
        <w:fldChar w:fldCharType="end"/>
      </w:r>
    </w:p>
  </w:footnote>
  <w:footnote w:id="1">
    <w:p w14:paraId="31DC3152">
      <w:pPr>
        <w:pStyle w:val="6"/>
        <w:snapToGrid w:val="0"/>
      </w:pPr>
      <w:r>
        <w:rPr>
          <w:rStyle w:val="5"/>
        </w:rPr>
        <w:footnoteRef/>
      </w:r>
      <w:r>
        <w:t xml:space="preserve"> </w:t>
      </w:r>
      <w:r>
        <w:rPr>
          <w:rFonts w:hint="default" w:ascii="Calibri" w:hAnsi="Calibri" w:eastAsia="SimSun" w:cs="Calibri"/>
          <w:sz w:val="18"/>
          <w:szCs w:val="18"/>
        </w:rPr>
        <w:t xml:space="preserve">Federal Board of Revenue (FBR), </w:t>
      </w:r>
      <w:r>
        <w:rPr>
          <w:rStyle w:val="4"/>
          <w:rFonts w:hint="default" w:ascii="Calibri" w:hAnsi="Calibri" w:eastAsia="SimSun" w:cs="Calibri"/>
          <w:sz w:val="18"/>
          <w:szCs w:val="18"/>
        </w:rPr>
        <w:t>Active Taxpayers List 2023</w:t>
      </w:r>
      <w:r>
        <w:rPr>
          <w:rFonts w:hint="default" w:ascii="Calibri" w:hAnsi="Calibri" w:eastAsia="SimSun" w:cs="Calibri"/>
          <w:sz w:val="18"/>
          <w:szCs w:val="18"/>
        </w:rPr>
        <w:t xml:space="preserve">. </w:t>
      </w:r>
      <w:r>
        <w:rPr>
          <w:rFonts w:hint="default" w:ascii="Calibri" w:hAnsi="Calibri" w:eastAsia="SimSun" w:cs="Calibri"/>
          <w:sz w:val="18"/>
          <w:szCs w:val="18"/>
        </w:rPr>
        <w:fldChar w:fldCharType="begin"/>
      </w:r>
      <w:r>
        <w:rPr>
          <w:rFonts w:hint="default" w:ascii="Calibri" w:hAnsi="Calibri" w:eastAsia="SimSun" w:cs="Calibri"/>
          <w:sz w:val="18"/>
          <w:szCs w:val="18"/>
        </w:rPr>
        <w:instrText xml:space="preserve"> HYPERLINK "https://www.fbr.gov.pk" \t "_new" </w:instrText>
      </w:r>
      <w:r>
        <w:rPr>
          <w:rFonts w:hint="default" w:ascii="Calibri" w:hAnsi="Calibri" w:eastAsia="SimSun" w:cs="Calibri"/>
          <w:sz w:val="18"/>
          <w:szCs w:val="18"/>
        </w:rPr>
        <w:fldChar w:fldCharType="separate"/>
      </w:r>
      <w:r>
        <w:rPr>
          <w:rStyle w:val="7"/>
          <w:rFonts w:hint="default" w:ascii="Calibri" w:hAnsi="Calibri" w:eastAsia="SimSun" w:cs="Calibri"/>
          <w:sz w:val="18"/>
          <w:szCs w:val="18"/>
        </w:rPr>
        <w:t>https://www.fbr.gov.pk</w:t>
      </w:r>
      <w:r>
        <w:rPr>
          <w:rFonts w:hint="default" w:ascii="Calibri" w:hAnsi="Calibri" w:eastAsia="SimSun" w:cs="Calibri"/>
          <w:sz w:val="18"/>
          <w:szCs w:val="18"/>
        </w:rPr>
        <w:fldChar w:fldCharType="end"/>
      </w:r>
    </w:p>
  </w:footnote>
  <w:footnote w:id="2">
    <w:p w14:paraId="609093EC">
      <w:pPr>
        <w:pStyle w:val="6"/>
        <w:snapToGrid w:val="0"/>
      </w:pPr>
      <w:r>
        <w:rPr>
          <w:rStyle w:val="5"/>
        </w:rPr>
        <w:footnoteRef/>
      </w:r>
      <w:r>
        <w:t xml:space="preserve"> </w:t>
      </w:r>
      <w:r>
        <w:rPr>
          <w:rFonts w:hint="default" w:ascii="Calibri" w:hAnsi="Calibri" w:eastAsia="SimSun" w:cs="Calibri"/>
          <w:sz w:val="18"/>
          <w:szCs w:val="18"/>
        </w:rPr>
        <w:t xml:space="preserve">World Bank, </w:t>
      </w:r>
      <w:r>
        <w:rPr>
          <w:rStyle w:val="4"/>
          <w:rFonts w:hint="default" w:ascii="Calibri" w:hAnsi="Calibri" w:eastAsia="SimSun" w:cs="Calibri"/>
          <w:sz w:val="18"/>
          <w:szCs w:val="18"/>
        </w:rPr>
        <w:t>Pakistan Public Finance Review 2023</w:t>
      </w:r>
      <w:r>
        <w:rPr>
          <w:rFonts w:hint="default" w:ascii="Calibri" w:hAnsi="Calibri" w:eastAsia="SimSun" w:cs="Calibri"/>
          <w:sz w:val="18"/>
          <w:szCs w:val="18"/>
        </w:rPr>
        <w:t xml:space="preserve">. </w:t>
      </w:r>
      <w:r>
        <w:rPr>
          <w:rFonts w:hint="default" w:ascii="Calibri" w:hAnsi="Calibri" w:eastAsia="SimSun" w:cs="Calibri"/>
          <w:sz w:val="18"/>
          <w:szCs w:val="18"/>
        </w:rPr>
        <w:fldChar w:fldCharType="begin"/>
      </w:r>
      <w:r>
        <w:rPr>
          <w:rFonts w:hint="default" w:ascii="Calibri" w:hAnsi="Calibri" w:eastAsia="SimSun" w:cs="Calibri"/>
          <w:sz w:val="18"/>
          <w:szCs w:val="18"/>
        </w:rPr>
        <w:instrText xml:space="preserve"> HYPERLINK "https://www.worldbank.org" \t "_new" </w:instrText>
      </w:r>
      <w:r>
        <w:rPr>
          <w:rFonts w:hint="default" w:ascii="Calibri" w:hAnsi="Calibri" w:eastAsia="SimSun" w:cs="Calibri"/>
          <w:sz w:val="18"/>
          <w:szCs w:val="18"/>
        </w:rPr>
        <w:fldChar w:fldCharType="separate"/>
      </w:r>
      <w:r>
        <w:rPr>
          <w:rStyle w:val="7"/>
          <w:rFonts w:hint="default" w:ascii="Calibri" w:hAnsi="Calibri" w:eastAsia="SimSun" w:cs="Calibri"/>
          <w:sz w:val="18"/>
          <w:szCs w:val="18"/>
        </w:rPr>
        <w:t>https://www.worldbank.org</w:t>
      </w:r>
      <w:r>
        <w:rPr>
          <w:rFonts w:hint="default" w:ascii="Calibri" w:hAnsi="Calibri" w:eastAsia="SimSun" w:cs="Calibri"/>
          <w:sz w:val="18"/>
          <w:szCs w:val="18"/>
        </w:rPr>
        <w:fldChar w:fldCharType="end"/>
      </w:r>
    </w:p>
  </w:footnote>
  <w:footnote w:id="3">
    <w:p w14:paraId="209A204A">
      <w:pPr>
        <w:pStyle w:val="6"/>
        <w:snapToGrid w:val="0"/>
      </w:pPr>
      <w:r>
        <w:rPr>
          <w:rStyle w:val="5"/>
        </w:rPr>
        <w:footnoteRef/>
      </w:r>
      <w:r>
        <w:t xml:space="preserve"> </w:t>
      </w:r>
      <w:r>
        <w:rPr>
          <w:rFonts w:hint="default" w:ascii="Calibri" w:hAnsi="Calibri" w:eastAsia="SimSun" w:cs="Calibri"/>
          <w:sz w:val="18"/>
          <w:szCs w:val="18"/>
        </w:rPr>
        <w:t xml:space="preserve">World Bank, </w:t>
      </w:r>
      <w:r>
        <w:rPr>
          <w:rStyle w:val="4"/>
          <w:rFonts w:hint="default" w:ascii="Calibri" w:hAnsi="Calibri" w:eastAsia="SimSun" w:cs="Calibri"/>
          <w:sz w:val="18"/>
          <w:szCs w:val="18"/>
        </w:rPr>
        <w:t>Pakistan Agriculture Sector Review 2023</w:t>
      </w:r>
      <w:r>
        <w:rPr>
          <w:rFonts w:hint="default" w:ascii="Calibri" w:hAnsi="Calibri" w:eastAsia="SimSun" w:cs="Calibri"/>
          <w:sz w:val="18"/>
          <w:szCs w:val="18"/>
        </w:rPr>
        <w:t xml:space="preserve">. </w:t>
      </w:r>
      <w:r>
        <w:rPr>
          <w:rFonts w:hint="default" w:ascii="Calibri" w:hAnsi="Calibri" w:eastAsia="SimSun" w:cs="Calibri"/>
          <w:sz w:val="18"/>
          <w:szCs w:val="18"/>
        </w:rPr>
        <w:fldChar w:fldCharType="begin"/>
      </w:r>
      <w:r>
        <w:rPr>
          <w:rFonts w:hint="default" w:ascii="Calibri" w:hAnsi="Calibri" w:eastAsia="SimSun" w:cs="Calibri"/>
          <w:sz w:val="18"/>
          <w:szCs w:val="18"/>
        </w:rPr>
        <w:instrText xml:space="preserve"> HYPERLINK "https://www.worldbank.org" \t "_new" </w:instrText>
      </w:r>
      <w:r>
        <w:rPr>
          <w:rFonts w:hint="default" w:ascii="Calibri" w:hAnsi="Calibri" w:eastAsia="SimSun" w:cs="Calibri"/>
          <w:sz w:val="18"/>
          <w:szCs w:val="18"/>
        </w:rPr>
        <w:fldChar w:fldCharType="separate"/>
      </w:r>
      <w:r>
        <w:rPr>
          <w:rStyle w:val="7"/>
          <w:rFonts w:hint="default" w:ascii="Calibri" w:hAnsi="Calibri" w:eastAsia="SimSun" w:cs="Calibri"/>
          <w:sz w:val="18"/>
          <w:szCs w:val="18"/>
        </w:rPr>
        <w:t>https://www.worldbank.org</w:t>
      </w:r>
      <w:r>
        <w:rPr>
          <w:rFonts w:hint="default" w:ascii="Calibri" w:hAnsi="Calibri" w:eastAsia="SimSun" w:cs="Calibri"/>
          <w:sz w:val="18"/>
          <w:szCs w:val="18"/>
        </w:rPr>
        <w:fldChar w:fldCharType="end"/>
      </w:r>
    </w:p>
  </w:footnote>
  <w:footnote w:id="4">
    <w:p w14:paraId="13BCC1BC">
      <w:pPr>
        <w:pStyle w:val="6"/>
        <w:snapToGrid w:val="0"/>
      </w:pPr>
      <w:r>
        <w:rPr>
          <w:rStyle w:val="5"/>
        </w:rPr>
        <w:footnoteRef/>
      </w:r>
      <w:r>
        <w:t xml:space="preserve"> </w:t>
      </w:r>
      <w:r>
        <w:rPr>
          <w:rFonts w:hint="default" w:ascii="Calibri" w:hAnsi="Calibri" w:eastAsia="SimSun" w:cs="Calibri"/>
          <w:sz w:val="18"/>
          <w:szCs w:val="18"/>
        </w:rPr>
        <w:t xml:space="preserve">International Monetary Fund, </w:t>
      </w:r>
      <w:r>
        <w:rPr>
          <w:rStyle w:val="4"/>
          <w:rFonts w:hint="default" w:ascii="Calibri" w:hAnsi="Calibri" w:eastAsia="SimSun" w:cs="Calibri"/>
          <w:sz w:val="18"/>
          <w:szCs w:val="18"/>
        </w:rPr>
        <w:t>Pakistan: Selected Issues Paper 2022</w:t>
      </w:r>
      <w:r>
        <w:rPr>
          <w:rFonts w:hint="default" w:ascii="Calibri" w:hAnsi="Calibri" w:eastAsia="SimSun" w:cs="Calibri"/>
          <w:sz w:val="18"/>
          <w:szCs w:val="18"/>
        </w:rPr>
        <w:t xml:space="preserve">. </w:t>
      </w:r>
      <w:r>
        <w:rPr>
          <w:rFonts w:hint="default" w:ascii="Calibri" w:hAnsi="Calibri" w:eastAsia="SimSun" w:cs="Calibri"/>
          <w:sz w:val="18"/>
          <w:szCs w:val="18"/>
        </w:rPr>
        <w:fldChar w:fldCharType="begin"/>
      </w:r>
      <w:r>
        <w:rPr>
          <w:rFonts w:hint="default" w:ascii="Calibri" w:hAnsi="Calibri" w:eastAsia="SimSun" w:cs="Calibri"/>
          <w:sz w:val="18"/>
          <w:szCs w:val="18"/>
        </w:rPr>
        <w:instrText xml:space="preserve"> HYPERLINK "https://www.imf.org" \t "_new" </w:instrText>
      </w:r>
      <w:r>
        <w:rPr>
          <w:rFonts w:hint="default" w:ascii="Calibri" w:hAnsi="Calibri" w:eastAsia="SimSun" w:cs="Calibri"/>
          <w:sz w:val="18"/>
          <w:szCs w:val="18"/>
        </w:rPr>
        <w:fldChar w:fldCharType="separate"/>
      </w:r>
      <w:r>
        <w:rPr>
          <w:rStyle w:val="7"/>
          <w:rFonts w:hint="default" w:ascii="Calibri" w:hAnsi="Calibri" w:eastAsia="SimSun" w:cs="Calibri"/>
          <w:sz w:val="18"/>
          <w:szCs w:val="18"/>
        </w:rPr>
        <w:t>https://www.imf.org</w:t>
      </w:r>
      <w:r>
        <w:rPr>
          <w:rFonts w:hint="default" w:ascii="Calibri" w:hAnsi="Calibri" w:eastAsia="SimSun" w:cs="Calibri"/>
          <w:sz w:val="18"/>
          <w:szCs w:val="18"/>
        </w:rPr>
        <w:fldChar w:fldCharType="end"/>
      </w:r>
    </w:p>
  </w:footnote>
  <w:footnote w:id="5">
    <w:p w14:paraId="72807CAA">
      <w:pPr>
        <w:pStyle w:val="6"/>
        <w:snapToGrid w:val="0"/>
      </w:pPr>
      <w:r>
        <w:rPr>
          <w:rStyle w:val="5"/>
        </w:rPr>
        <w:footnoteRef/>
      </w:r>
      <w:r>
        <w:t xml:space="preserve"> </w:t>
      </w:r>
      <w:r>
        <w:rPr>
          <w:rFonts w:hint="default" w:ascii="Calibri" w:hAnsi="Calibri" w:eastAsia="SimSun" w:cs="Calibri"/>
          <w:sz w:val="18"/>
          <w:szCs w:val="18"/>
        </w:rPr>
        <w:t xml:space="preserve">Islamic Development Bank Institute (IsDBI), </w:t>
      </w:r>
      <w:r>
        <w:rPr>
          <w:rStyle w:val="4"/>
          <w:rFonts w:hint="default" w:ascii="Calibri" w:hAnsi="Calibri" w:eastAsia="SimSun" w:cs="Calibri"/>
          <w:sz w:val="18"/>
          <w:szCs w:val="18"/>
        </w:rPr>
        <w:t>Islamic Social Finance Report 2020</w:t>
      </w:r>
      <w:r>
        <w:rPr>
          <w:rFonts w:hint="default" w:ascii="Calibri" w:hAnsi="Calibri" w:eastAsia="SimSun" w:cs="Calibri"/>
          <w:sz w:val="18"/>
          <w:szCs w:val="18"/>
        </w:rPr>
        <w:t xml:space="preserve">, 12–15. PDF: </w:t>
      </w:r>
      <w:r>
        <w:rPr>
          <w:rFonts w:hint="default" w:ascii="Calibri" w:hAnsi="Calibri" w:eastAsia="SimSun" w:cs="Calibri"/>
          <w:sz w:val="18"/>
          <w:szCs w:val="18"/>
        </w:rPr>
        <w:fldChar w:fldCharType="begin"/>
      </w:r>
      <w:r>
        <w:rPr>
          <w:rFonts w:hint="default" w:ascii="Calibri" w:hAnsi="Calibri" w:eastAsia="SimSun" w:cs="Calibri"/>
          <w:sz w:val="18"/>
          <w:szCs w:val="18"/>
        </w:rPr>
        <w:instrText xml:space="preserve"> HYPERLINK "https://isdbinstitute.org/wp-content/uploads/2020/06/Islamic-Social-Finance-Report-2020-LATEST-FINAL.pdf?utm_source=chatgpt.com" \t "_new" </w:instrText>
      </w:r>
      <w:r>
        <w:rPr>
          <w:rFonts w:hint="default" w:ascii="Calibri" w:hAnsi="Calibri" w:eastAsia="SimSun" w:cs="Calibri"/>
          <w:sz w:val="18"/>
          <w:szCs w:val="18"/>
        </w:rPr>
        <w:fldChar w:fldCharType="separate"/>
      </w:r>
      <w:r>
        <w:rPr>
          <w:rStyle w:val="7"/>
          <w:rFonts w:hint="default" w:ascii="Calibri" w:hAnsi="Calibri" w:eastAsia="SimSun" w:cs="Calibri"/>
          <w:sz w:val="18"/>
          <w:szCs w:val="18"/>
        </w:rPr>
        <w:t>https://isdbinstitute.org/wp-content/uploads/2020/06/Islamic-Social-Finance-Report-2020-LATEST-FINAL.pdf</w:t>
      </w:r>
      <w:r>
        <w:rPr>
          <w:rFonts w:hint="default" w:ascii="Calibri" w:hAnsi="Calibri" w:eastAsia="SimSun" w:cs="Calibri"/>
          <w:sz w:val="18"/>
          <w:szCs w:val="18"/>
        </w:rPr>
        <w:fldChar w:fldCharType="end"/>
      </w:r>
    </w:p>
  </w:footnote>
  <w:footnote w:id="6">
    <w:p w14:paraId="27AE5C8C">
      <w:pPr>
        <w:pStyle w:val="6"/>
        <w:snapToGrid w:val="0"/>
      </w:pPr>
      <w:r>
        <w:rPr>
          <w:rStyle w:val="5"/>
        </w:rPr>
        <w:footnoteRef/>
      </w:r>
      <w:r>
        <w:t xml:space="preserve"> </w:t>
      </w:r>
      <w:r>
        <w:rPr>
          <w:rFonts w:hint="default" w:ascii="Calibri" w:hAnsi="Calibri" w:eastAsia="SimSun" w:cs="Calibri"/>
          <w:sz w:val="18"/>
          <w:szCs w:val="18"/>
        </w:rPr>
        <w:t xml:space="preserve">Pakistan Institute of Development Economics (PIDE), </w:t>
      </w:r>
      <w:r>
        <w:rPr>
          <w:rStyle w:val="4"/>
          <w:rFonts w:hint="default" w:ascii="Calibri" w:hAnsi="Calibri" w:eastAsia="SimSun" w:cs="Calibri"/>
          <w:sz w:val="18"/>
          <w:szCs w:val="18"/>
        </w:rPr>
        <w:t>Zakat, Ushr and Poverty Alleviation in Pakistan</w:t>
      </w:r>
      <w:r>
        <w:rPr>
          <w:rFonts w:hint="default" w:ascii="Calibri" w:hAnsi="Calibri" w:eastAsia="SimSun" w:cs="Calibri"/>
          <w:sz w:val="18"/>
          <w:szCs w:val="18"/>
        </w:rPr>
        <w:t xml:space="preserve">, Research Report No. 121 (2022). </w:t>
      </w:r>
      <w:r>
        <w:rPr>
          <w:rFonts w:hint="default" w:ascii="Calibri" w:hAnsi="Calibri" w:eastAsia="SimSun" w:cs="Calibri"/>
          <w:sz w:val="18"/>
          <w:szCs w:val="18"/>
        </w:rPr>
        <w:fldChar w:fldCharType="begin"/>
      </w:r>
      <w:r>
        <w:rPr>
          <w:rFonts w:hint="default" w:ascii="Calibri" w:hAnsi="Calibri" w:eastAsia="SimSun" w:cs="Calibri"/>
          <w:sz w:val="18"/>
          <w:szCs w:val="18"/>
        </w:rPr>
        <w:instrText xml:space="preserve"> HYPERLINK "https://pide.org.pk" \t "_new" </w:instrText>
      </w:r>
      <w:r>
        <w:rPr>
          <w:rFonts w:hint="default" w:ascii="Calibri" w:hAnsi="Calibri" w:eastAsia="SimSun" w:cs="Calibri"/>
          <w:sz w:val="18"/>
          <w:szCs w:val="18"/>
        </w:rPr>
        <w:fldChar w:fldCharType="separate"/>
      </w:r>
      <w:r>
        <w:rPr>
          <w:rStyle w:val="7"/>
          <w:rFonts w:hint="default" w:ascii="Calibri" w:hAnsi="Calibri" w:eastAsia="SimSun" w:cs="Calibri"/>
          <w:sz w:val="18"/>
          <w:szCs w:val="18"/>
        </w:rPr>
        <w:t>https://pide.org.pk</w:t>
      </w:r>
      <w:r>
        <w:rPr>
          <w:rFonts w:hint="default" w:ascii="Calibri" w:hAnsi="Calibri" w:eastAsia="SimSun" w:cs="Calibri"/>
          <w:sz w:val="18"/>
          <w:szCs w:val="18"/>
        </w:rPr>
        <w:fldChar w:fldCharType="end"/>
      </w:r>
    </w:p>
  </w:footnote>
  <w:footnote w:id="7">
    <w:p w14:paraId="0CF19698">
      <w:pPr>
        <w:pStyle w:val="6"/>
        <w:snapToGrid w:val="0"/>
        <w:rPr>
          <w:rFonts w:hint="default" w:ascii="Calibri" w:hAnsi="Calibri" w:cs="Calibri"/>
          <w:sz w:val="18"/>
          <w:szCs w:val="18"/>
        </w:rPr>
      </w:pPr>
      <w:r>
        <w:rPr>
          <w:rStyle w:val="5"/>
        </w:rPr>
        <w:footnoteRef/>
      </w:r>
      <w:r>
        <w:t xml:space="preserve"> </w:t>
      </w:r>
      <w:r>
        <w:rPr>
          <w:rFonts w:hint="default" w:ascii="Calibri" w:hAnsi="Calibri" w:eastAsia="SimSun" w:cs="Calibri"/>
          <w:sz w:val="18"/>
          <w:szCs w:val="18"/>
        </w:rPr>
        <w:t xml:space="preserve">Abu Ubayd al-Qasim, </w:t>
      </w:r>
      <w:r>
        <w:rPr>
          <w:rStyle w:val="4"/>
          <w:rFonts w:hint="default" w:ascii="Calibri" w:hAnsi="Calibri" w:eastAsia="SimSun" w:cs="Calibri"/>
          <w:sz w:val="18"/>
          <w:szCs w:val="18"/>
        </w:rPr>
        <w:t>Kitab al-Amwal</w:t>
      </w:r>
      <w:r>
        <w:rPr>
          <w:rFonts w:hint="default" w:ascii="Calibri" w:hAnsi="Calibri" w:eastAsia="SimSun" w:cs="Calibri"/>
          <w:sz w:val="18"/>
          <w:szCs w:val="18"/>
        </w:rPr>
        <w:t>, trans. Imran Nyazee (Islamabad: IIIT, 2002), 312</w:t>
      </w:r>
      <w:r>
        <w:rPr>
          <w:rFonts w:hint="default" w:ascii="Calibri" w:hAnsi="Calibri" w:eastAsia="SimSun" w:cs="Calibri"/>
          <w:sz w:val="18"/>
          <w:szCs w:val="18"/>
          <w:lang w:val="en-US"/>
        </w:rPr>
        <w:t>-</w:t>
      </w:r>
      <w:r>
        <w:rPr>
          <w:rFonts w:hint="default" w:ascii="Calibri" w:hAnsi="Calibri" w:eastAsia="SimSun" w:cs="Calibri"/>
          <w:sz w:val="18"/>
          <w:szCs w:val="18"/>
        </w:rPr>
        <w:t>320.</w:t>
      </w:r>
    </w:p>
    <w:p w14:paraId="07A2C132">
      <w:pPr>
        <w:pStyle w:val="6"/>
        <w:snapToGrid w:val="0"/>
      </w:pPr>
    </w:p>
  </w:footnote>
  <w:footnote w:id="8">
    <w:p w14:paraId="034C1E9D">
      <w:pPr>
        <w:pStyle w:val="6"/>
        <w:snapToGrid w:val="0"/>
      </w:pPr>
      <w:r>
        <w:rPr>
          <w:rStyle w:val="5"/>
        </w:rPr>
        <w:footnoteRef/>
      </w:r>
      <w:r>
        <w:t xml:space="preserve"> </w:t>
      </w:r>
      <w:r>
        <w:rPr>
          <w:rFonts w:hint="default" w:ascii="Calibri" w:hAnsi="Calibri" w:eastAsia="SimSun" w:cs="Calibri"/>
          <w:sz w:val="18"/>
          <w:szCs w:val="18"/>
        </w:rPr>
        <w:t xml:space="preserve">Islamic Research and Training Institute (IRTI), </w:t>
      </w:r>
      <w:r>
        <w:rPr>
          <w:rStyle w:val="4"/>
          <w:rFonts w:hint="default" w:ascii="Calibri" w:hAnsi="Calibri" w:eastAsia="SimSun" w:cs="Calibri"/>
          <w:sz w:val="18"/>
          <w:szCs w:val="18"/>
        </w:rPr>
        <w:t>Malaysia Zakat Case Study</w:t>
      </w:r>
      <w:r>
        <w:rPr>
          <w:rFonts w:hint="default" w:ascii="Calibri" w:hAnsi="Calibri" w:eastAsia="SimSun" w:cs="Calibri"/>
          <w:sz w:val="18"/>
          <w:szCs w:val="18"/>
        </w:rPr>
        <w:t xml:space="preserve">, in </w:t>
      </w:r>
      <w:r>
        <w:rPr>
          <w:rStyle w:val="4"/>
          <w:rFonts w:hint="default" w:ascii="Calibri" w:hAnsi="Calibri" w:eastAsia="SimSun" w:cs="Calibri"/>
          <w:sz w:val="18"/>
          <w:szCs w:val="18"/>
        </w:rPr>
        <w:t>Islamic Social Finance Report 2020</w:t>
      </w:r>
    </w:p>
  </w:footnote>
  <w:footnote w:id="9">
    <w:p w14:paraId="121F60DC">
      <w:pPr>
        <w:pStyle w:val="6"/>
        <w:snapToGrid w:val="0"/>
      </w:pPr>
      <w:r>
        <w:rPr>
          <w:rStyle w:val="5"/>
        </w:rPr>
        <w:footnoteRef/>
      </w:r>
      <w:r>
        <w:t xml:space="preserve"> </w:t>
      </w:r>
      <w:r>
        <w:rPr>
          <w:rFonts w:hint="default" w:ascii="Calibri" w:hAnsi="Calibri" w:eastAsia="SimSun" w:cs="Calibri"/>
          <w:sz w:val="18"/>
          <w:szCs w:val="18"/>
        </w:rPr>
        <w:t xml:space="preserve">United Nations Development Programme (UNDP), </w:t>
      </w:r>
      <w:r>
        <w:rPr>
          <w:rStyle w:val="4"/>
          <w:rFonts w:hint="default" w:ascii="Calibri" w:hAnsi="Calibri" w:eastAsia="SimSun" w:cs="Calibri"/>
          <w:sz w:val="18"/>
          <w:szCs w:val="18"/>
        </w:rPr>
        <w:t>Zakat for Sustainable Development: Indonesia Report</w:t>
      </w:r>
      <w:r>
        <w:rPr>
          <w:rFonts w:hint="default" w:ascii="Calibri" w:hAnsi="Calibri" w:eastAsia="SimSun" w:cs="Calibri"/>
          <w:sz w:val="18"/>
          <w:szCs w:val="18"/>
        </w:rPr>
        <w:t xml:space="preserve">, 2018. </w:t>
      </w:r>
      <w:r>
        <w:rPr>
          <w:rFonts w:hint="default" w:ascii="Calibri" w:hAnsi="Calibri" w:eastAsia="SimSun" w:cs="Calibri"/>
          <w:sz w:val="18"/>
          <w:szCs w:val="18"/>
        </w:rPr>
        <w:fldChar w:fldCharType="begin"/>
      </w:r>
      <w:r>
        <w:rPr>
          <w:rFonts w:hint="default" w:ascii="Calibri" w:hAnsi="Calibri" w:eastAsia="SimSun" w:cs="Calibri"/>
          <w:sz w:val="18"/>
          <w:szCs w:val="18"/>
        </w:rPr>
        <w:instrText xml:space="preserve"> HYPERLINK "https://www.undp.org" \t "_new" </w:instrText>
      </w:r>
      <w:r>
        <w:rPr>
          <w:rFonts w:hint="default" w:ascii="Calibri" w:hAnsi="Calibri" w:eastAsia="SimSun" w:cs="Calibri"/>
          <w:sz w:val="18"/>
          <w:szCs w:val="18"/>
        </w:rPr>
        <w:fldChar w:fldCharType="separate"/>
      </w:r>
      <w:r>
        <w:rPr>
          <w:rStyle w:val="7"/>
          <w:rFonts w:hint="default" w:ascii="Calibri" w:hAnsi="Calibri" w:eastAsia="SimSun" w:cs="Calibri"/>
          <w:sz w:val="18"/>
          <w:szCs w:val="18"/>
        </w:rPr>
        <w:t>https://www.undp.org</w:t>
      </w:r>
      <w:r>
        <w:rPr>
          <w:rFonts w:hint="default" w:ascii="Calibri" w:hAnsi="Calibri" w:eastAsia="SimSun" w:cs="Calibri"/>
          <w:sz w:val="18"/>
          <w:szCs w:val="18"/>
        </w:rPr>
        <w:fldChar w:fldCharType="end"/>
      </w:r>
    </w:p>
  </w:footnote>
  <w:footnote w:id="10">
    <w:p w14:paraId="6E5BAFE9">
      <w:pPr>
        <w:pStyle w:val="6"/>
        <w:snapToGrid w:val="0"/>
        <w:rPr>
          <w:rFonts w:hint="default" w:ascii="Calibri" w:hAnsi="Calibri" w:cs="Calibri"/>
          <w:sz w:val="18"/>
          <w:szCs w:val="18"/>
        </w:rPr>
      </w:pPr>
      <w:r>
        <w:rPr>
          <w:rStyle w:val="5"/>
          <w:rFonts w:hint="default" w:ascii="Calibri" w:hAnsi="Calibri" w:cs="Calibri"/>
          <w:sz w:val="18"/>
          <w:szCs w:val="18"/>
        </w:rPr>
        <w:footnoteRef/>
      </w:r>
      <w:r>
        <w:rPr>
          <w:rFonts w:hint="default" w:ascii="Calibri" w:hAnsi="Calibri" w:cs="Calibri"/>
          <w:sz w:val="18"/>
          <w:szCs w:val="18"/>
        </w:rPr>
        <w:t xml:space="preserve"> </w:t>
      </w:r>
      <w:r>
        <w:rPr>
          <w:rFonts w:hint="default" w:ascii="Calibri" w:hAnsi="Calibri" w:eastAsia="SimSun" w:cs="Calibri"/>
          <w:sz w:val="18"/>
          <w:szCs w:val="18"/>
        </w:rPr>
        <w:t xml:space="preserve">Sudan Zakat Chamber. </w:t>
      </w:r>
      <w:r>
        <w:rPr>
          <w:rStyle w:val="4"/>
          <w:rFonts w:hint="default" w:ascii="Calibri" w:hAnsi="Calibri" w:eastAsia="SimSun" w:cs="Calibri"/>
          <w:sz w:val="18"/>
          <w:szCs w:val="18"/>
        </w:rPr>
        <w:t>Annual Statistical Report</w:t>
      </w:r>
      <w:r>
        <w:rPr>
          <w:rFonts w:hint="default" w:ascii="Calibri" w:hAnsi="Calibri" w:eastAsia="SimSun" w:cs="Calibri"/>
          <w:sz w:val="18"/>
          <w:szCs w:val="18"/>
        </w:rPr>
        <w:t>. Khartoum: Government of Sudan, 1995.</w:t>
      </w:r>
    </w:p>
  </w:footnote>
  <w:footnote w:id="11">
    <w:p w14:paraId="6091E3A6">
      <w:pPr>
        <w:pStyle w:val="6"/>
        <w:snapToGrid w:val="0"/>
      </w:pPr>
      <w:r>
        <w:rPr>
          <w:rStyle w:val="5"/>
        </w:rPr>
        <w:footnoteRef/>
      </w:r>
      <w:r>
        <w:t xml:space="preserve"> </w:t>
      </w:r>
      <w:r>
        <w:rPr>
          <w:rFonts w:hint="default" w:ascii="Calibri" w:hAnsi="Calibri" w:eastAsia="SimSun" w:cs="Calibri"/>
          <w:sz w:val="18"/>
          <w:szCs w:val="18"/>
        </w:rPr>
        <w:t xml:space="preserve">Karandaaz Pakistan &amp; State Bank of Pakistan, </w:t>
      </w:r>
      <w:r>
        <w:rPr>
          <w:rStyle w:val="4"/>
          <w:rFonts w:hint="default" w:ascii="Calibri" w:hAnsi="Calibri" w:eastAsia="SimSun" w:cs="Calibri"/>
          <w:sz w:val="18"/>
          <w:szCs w:val="18"/>
        </w:rPr>
        <w:t>Digital Financial Inclusion Report 2022</w:t>
      </w:r>
      <w:r>
        <w:rPr>
          <w:rFonts w:hint="default" w:ascii="Calibri" w:hAnsi="Calibri" w:eastAsia="SimSun" w:cs="Calibri"/>
          <w:sz w:val="18"/>
          <w:szCs w:val="18"/>
        </w:rPr>
        <w:t xml:space="preserve">. </w:t>
      </w:r>
      <w:r>
        <w:rPr>
          <w:rFonts w:hint="default" w:ascii="Calibri" w:hAnsi="Calibri" w:eastAsia="SimSun" w:cs="Calibri"/>
          <w:sz w:val="18"/>
          <w:szCs w:val="18"/>
        </w:rPr>
        <w:fldChar w:fldCharType="begin"/>
      </w:r>
      <w:r>
        <w:rPr>
          <w:rFonts w:hint="default" w:ascii="Calibri" w:hAnsi="Calibri" w:eastAsia="SimSun" w:cs="Calibri"/>
          <w:sz w:val="18"/>
          <w:szCs w:val="18"/>
        </w:rPr>
        <w:instrText xml:space="preserve"> HYPERLINK "https://www.karandaaz.com.pk/en/research/publications?utm_source=chatgpt.com" \t "_new" </w:instrText>
      </w:r>
      <w:r>
        <w:rPr>
          <w:rFonts w:hint="default" w:ascii="Calibri" w:hAnsi="Calibri" w:eastAsia="SimSun" w:cs="Calibri"/>
          <w:sz w:val="18"/>
          <w:szCs w:val="18"/>
        </w:rPr>
        <w:fldChar w:fldCharType="separate"/>
      </w:r>
      <w:r>
        <w:rPr>
          <w:rStyle w:val="7"/>
          <w:rFonts w:hint="default" w:ascii="Calibri" w:hAnsi="Calibri" w:eastAsia="SimSun" w:cs="Calibri"/>
          <w:sz w:val="18"/>
          <w:szCs w:val="18"/>
        </w:rPr>
        <w:t>https://www.karandaaz.com.pk/en/research/publications</w:t>
      </w:r>
      <w:r>
        <w:rPr>
          <w:rFonts w:hint="default" w:ascii="Calibri" w:hAnsi="Calibri" w:eastAsia="SimSun" w:cs="Calibri"/>
          <w:sz w:val="18"/>
          <w:szCs w:val="18"/>
        </w:rPr>
        <w:fldChar w:fldCharType="end"/>
      </w:r>
    </w:p>
  </w:footnote>
  <w:footnote w:id="12">
    <w:p w14:paraId="3A7E6DC0">
      <w:pPr>
        <w:keepNext w:val="0"/>
        <w:keepLines w:val="0"/>
        <w:widowControl/>
        <w:numPr>
          <w:ilvl w:val="0"/>
          <w:numId w:val="0"/>
        </w:numPr>
        <w:suppressLineNumbers w:val="0"/>
        <w:spacing w:before="0" w:beforeAutospacing="1" w:after="0" w:afterAutospacing="1"/>
      </w:pPr>
      <w:r>
        <w:rPr>
          <w:rStyle w:val="5"/>
        </w:rPr>
        <w:footnoteRef/>
      </w:r>
      <w:r>
        <w:t xml:space="preserve"> </w:t>
      </w:r>
      <w:r>
        <w:rPr>
          <w:sz w:val="18"/>
          <w:szCs w:val="18"/>
        </w:rPr>
        <w:t xml:space="preserve">UNDP Indonesia &amp; BAZNAS, </w:t>
      </w:r>
      <w:r>
        <w:rPr>
          <w:rStyle w:val="4"/>
          <w:sz w:val="18"/>
          <w:szCs w:val="18"/>
        </w:rPr>
        <w:t>Zakat and Women's Economic Empowerment Report</w:t>
      </w:r>
      <w:r>
        <w:rPr>
          <w:sz w:val="18"/>
          <w:szCs w:val="18"/>
        </w:rPr>
        <w:t xml:space="preserve">, 2018. </w:t>
      </w:r>
      <w:r>
        <w:rPr>
          <w:sz w:val="18"/>
          <w:szCs w:val="18"/>
        </w:rPr>
        <w:fldChar w:fldCharType="begin"/>
      </w:r>
      <w:r>
        <w:rPr>
          <w:sz w:val="18"/>
          <w:szCs w:val="18"/>
        </w:rPr>
        <w:instrText xml:space="preserve"> HYPERLINK "https://www.undp.org" \t "_new" </w:instrText>
      </w:r>
      <w:r>
        <w:rPr>
          <w:sz w:val="18"/>
          <w:szCs w:val="18"/>
        </w:rPr>
        <w:fldChar w:fldCharType="separate"/>
      </w:r>
      <w:r>
        <w:rPr>
          <w:rStyle w:val="7"/>
          <w:sz w:val="18"/>
          <w:szCs w:val="18"/>
        </w:rPr>
        <w:t>https://www.undp.org</w:t>
      </w:r>
      <w:r>
        <w:rPr>
          <w:sz w:val="18"/>
          <w:szCs w:val="18"/>
        </w:rPr>
        <w:fldChar w:fldCharType="end"/>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26"/>
    <w:footnote w:id="27"/>
  </w:footnotePr>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883D34"/>
    <w:rsid w:val="0A883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Emphasis"/>
    <w:basedOn w:val="2"/>
    <w:qFormat/>
    <w:uiPriority w:val="0"/>
    <w:rPr>
      <w:i/>
      <w:iCs/>
    </w:rPr>
  </w:style>
  <w:style w:type="character" w:styleId="5">
    <w:name w:val="footnote reference"/>
    <w:basedOn w:val="2"/>
    <w:uiPriority w:val="0"/>
    <w:rPr>
      <w:vertAlign w:val="superscript"/>
    </w:rPr>
  </w:style>
  <w:style w:type="paragraph" w:styleId="6">
    <w:name w:val="footnote text"/>
    <w:basedOn w:val="1"/>
    <w:uiPriority w:val="0"/>
    <w:pPr>
      <w:snapToGrid w:val="0"/>
      <w:jc w:val="left"/>
    </w:pPr>
    <w:rPr>
      <w:sz w:val="18"/>
      <w:szCs w:val="18"/>
    </w:rPr>
  </w:style>
  <w:style w:type="character" w:styleId="7">
    <w:name w:val="Hyperlink"/>
    <w:basedOn w:val="2"/>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2025-11-29T08:06:00Z</dcterms:created>
  <dc:creator>samra khaksar</dc:creator>
  <cp:lastModifiedBy>samra khaksar</cp:lastModifiedBy>
  <dcterms:modified xsi:type="dcterms:W3CDTF">2025-11-29T08:30:27Z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F007B6DAC69F40F0B24FC9973888EA22_11</vt:lpwstr>
  </property>
</Properties>
</file>