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619B4" w14:textId="77777777" w:rsidR="002666B8" w:rsidRPr="002B7782" w:rsidRDefault="002666B8" w:rsidP="000E27CD">
      <w:pPr>
        <w:spacing w:line="240" w:lineRule="auto"/>
        <w:jc w:val="center"/>
        <w:rPr>
          <w:rFonts w:ascii="Times New Roman" w:hAnsi="Times New Roman" w:cs="Times New Roman"/>
          <w:b/>
          <w:bCs/>
          <w:sz w:val="28"/>
          <w:szCs w:val="28"/>
        </w:rPr>
      </w:pPr>
      <w:r w:rsidRPr="002B7782">
        <w:rPr>
          <w:rFonts w:ascii="Times New Roman" w:hAnsi="Times New Roman" w:cs="Times New Roman"/>
          <w:b/>
          <w:bCs/>
          <w:sz w:val="28"/>
          <w:szCs w:val="28"/>
        </w:rPr>
        <w:t>Reforming Money and Banking: Full Reserve, Interest-Free System for Eliminating Government Debt, Deficit, and Inflation</w:t>
      </w:r>
    </w:p>
    <w:p w14:paraId="23795A42" w14:textId="77777777" w:rsidR="00DC25BE" w:rsidRDefault="00DC25BE" w:rsidP="000E27CD">
      <w:pPr>
        <w:spacing w:line="240" w:lineRule="auto"/>
        <w:jc w:val="both"/>
        <w:rPr>
          <w:rStyle w:val="Strong"/>
          <w:rFonts w:ascii="Times New Roman" w:hAnsi="Times New Roman" w:cs="Times New Roman"/>
          <w:sz w:val="24"/>
          <w:szCs w:val="24"/>
        </w:rPr>
      </w:pPr>
    </w:p>
    <w:p w14:paraId="1FC354E0" w14:textId="5FC8C8B2" w:rsidR="0065524F" w:rsidRPr="00BD6B21" w:rsidRDefault="0065524F" w:rsidP="00743814">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Dr. </w:t>
      </w:r>
      <w:r w:rsidRPr="00BD6B21">
        <w:rPr>
          <w:rFonts w:asciiTheme="majorBidi" w:hAnsiTheme="majorBidi" w:cstheme="majorBidi"/>
          <w:sz w:val="24"/>
          <w:szCs w:val="24"/>
        </w:rPr>
        <w:t>Nida Mahmood</w:t>
      </w:r>
    </w:p>
    <w:p w14:paraId="239BDA89" w14:textId="53217D1A" w:rsidR="0065524F" w:rsidRPr="00BD6B21" w:rsidRDefault="0065524F" w:rsidP="00743814">
      <w:pPr>
        <w:spacing w:after="0" w:line="240" w:lineRule="auto"/>
        <w:jc w:val="center"/>
        <w:rPr>
          <w:rFonts w:asciiTheme="majorBidi" w:hAnsiTheme="majorBidi" w:cstheme="majorBidi"/>
          <w:sz w:val="24"/>
          <w:szCs w:val="24"/>
        </w:rPr>
      </w:pPr>
      <w:r>
        <w:rPr>
          <w:rFonts w:asciiTheme="majorBidi" w:hAnsiTheme="majorBidi" w:cstheme="majorBidi"/>
          <w:sz w:val="24"/>
          <w:szCs w:val="24"/>
        </w:rPr>
        <w:t>Lecturer</w:t>
      </w:r>
      <w:r w:rsidRPr="00BD6B21">
        <w:rPr>
          <w:rFonts w:asciiTheme="majorBidi" w:hAnsiTheme="majorBidi" w:cstheme="majorBidi"/>
          <w:sz w:val="24"/>
          <w:szCs w:val="24"/>
        </w:rPr>
        <w:t>,</w:t>
      </w:r>
      <w:r>
        <w:rPr>
          <w:rFonts w:asciiTheme="majorBidi" w:hAnsiTheme="majorBidi" w:cstheme="majorBidi"/>
          <w:sz w:val="24"/>
          <w:szCs w:val="24"/>
        </w:rPr>
        <w:t xml:space="preserve"> Green Business School,</w:t>
      </w:r>
      <w:r w:rsidRPr="00BD6B21">
        <w:rPr>
          <w:rFonts w:asciiTheme="majorBidi" w:hAnsiTheme="majorBidi" w:cstheme="majorBidi"/>
          <w:sz w:val="24"/>
          <w:szCs w:val="24"/>
        </w:rPr>
        <w:t xml:space="preserve"> </w:t>
      </w:r>
      <w:r>
        <w:rPr>
          <w:rFonts w:asciiTheme="majorBidi" w:hAnsiTheme="majorBidi" w:cstheme="majorBidi"/>
          <w:sz w:val="24"/>
          <w:szCs w:val="24"/>
        </w:rPr>
        <w:t>Green International University, Lahore</w:t>
      </w:r>
    </w:p>
    <w:p w14:paraId="1A8BD96E" w14:textId="0F140608" w:rsidR="0065524F" w:rsidRPr="0065524F" w:rsidRDefault="0065524F" w:rsidP="00743814">
      <w:pPr>
        <w:spacing w:after="0" w:line="240" w:lineRule="auto"/>
        <w:jc w:val="center"/>
        <w:rPr>
          <w:rStyle w:val="Hyperlink"/>
          <w:rFonts w:asciiTheme="majorBidi" w:hAnsiTheme="majorBidi" w:cstheme="majorBidi"/>
          <w:sz w:val="24"/>
          <w:szCs w:val="24"/>
        </w:rPr>
      </w:pPr>
      <w:r w:rsidRPr="0065524F">
        <w:rPr>
          <w:rStyle w:val="Hyperlink"/>
          <w:rFonts w:asciiTheme="majorBidi" w:hAnsiTheme="majorBidi" w:cstheme="majorBidi"/>
          <w:sz w:val="24"/>
          <w:szCs w:val="24"/>
        </w:rPr>
        <w:t>nida</w:t>
      </w:r>
      <w:r w:rsidRPr="0065524F">
        <w:rPr>
          <w:rStyle w:val="Hyperlink"/>
          <w:rFonts w:asciiTheme="majorBidi" w:hAnsiTheme="majorBidi" w:cstheme="majorBidi"/>
          <w:sz w:val="24"/>
          <w:szCs w:val="24"/>
        </w:rPr>
        <w:t>.mahmood@giu.edu.pk</w:t>
      </w:r>
    </w:p>
    <w:p w14:paraId="13FDD03D" w14:textId="77777777" w:rsidR="0065524F" w:rsidRPr="00BD6B21" w:rsidRDefault="0065524F" w:rsidP="00743814">
      <w:pPr>
        <w:spacing w:after="0" w:line="240" w:lineRule="auto"/>
        <w:jc w:val="center"/>
      </w:pPr>
    </w:p>
    <w:p w14:paraId="49A82F82" w14:textId="0171BC96" w:rsidR="0065524F" w:rsidRDefault="0065524F" w:rsidP="00743814">
      <w:pPr>
        <w:spacing w:after="0" w:line="240" w:lineRule="auto"/>
        <w:jc w:val="center"/>
        <w:rPr>
          <w:rFonts w:asciiTheme="majorBidi" w:hAnsiTheme="majorBidi" w:cstheme="majorBidi"/>
          <w:sz w:val="24"/>
          <w:szCs w:val="24"/>
        </w:rPr>
      </w:pPr>
      <w:r>
        <w:rPr>
          <w:rFonts w:asciiTheme="majorBidi" w:hAnsiTheme="majorBidi" w:cstheme="majorBidi"/>
          <w:sz w:val="24"/>
          <w:szCs w:val="24"/>
        </w:rPr>
        <w:t>Ms. Mehwish Boota</w:t>
      </w:r>
    </w:p>
    <w:p w14:paraId="74D989C1" w14:textId="6C3474A1" w:rsidR="0065524F" w:rsidRDefault="0065524F" w:rsidP="00743814">
      <w:pPr>
        <w:spacing w:after="0" w:line="240" w:lineRule="auto"/>
        <w:jc w:val="center"/>
        <w:rPr>
          <w:rFonts w:ascii="Arial" w:hAnsi="Arial" w:cs="Arial"/>
          <w:sz w:val="23"/>
          <w:szCs w:val="23"/>
        </w:rPr>
      </w:pPr>
      <w:r>
        <w:rPr>
          <w:rFonts w:asciiTheme="majorBidi" w:hAnsiTheme="majorBidi" w:cstheme="majorBidi"/>
          <w:sz w:val="24"/>
          <w:szCs w:val="24"/>
        </w:rPr>
        <w:t>Lecturer</w:t>
      </w:r>
      <w:r w:rsidRPr="00BD6B21">
        <w:rPr>
          <w:rFonts w:asciiTheme="majorBidi" w:hAnsiTheme="majorBidi" w:cstheme="majorBidi"/>
          <w:sz w:val="24"/>
          <w:szCs w:val="24"/>
        </w:rPr>
        <w:t>,</w:t>
      </w:r>
      <w:r>
        <w:rPr>
          <w:rFonts w:asciiTheme="majorBidi" w:hAnsiTheme="majorBidi" w:cstheme="majorBidi"/>
          <w:sz w:val="24"/>
          <w:szCs w:val="24"/>
        </w:rPr>
        <w:t xml:space="preserve"> Green Business School,</w:t>
      </w:r>
      <w:r w:rsidRPr="00BD6B21">
        <w:rPr>
          <w:rFonts w:asciiTheme="majorBidi" w:hAnsiTheme="majorBidi" w:cstheme="majorBidi"/>
          <w:sz w:val="24"/>
          <w:szCs w:val="24"/>
        </w:rPr>
        <w:t xml:space="preserve"> </w:t>
      </w:r>
      <w:r>
        <w:rPr>
          <w:rFonts w:asciiTheme="majorBidi" w:hAnsiTheme="majorBidi" w:cstheme="majorBidi"/>
          <w:sz w:val="24"/>
          <w:szCs w:val="24"/>
        </w:rPr>
        <w:t>Green International University, Lahore</w:t>
      </w:r>
      <w:r>
        <w:rPr>
          <w:rFonts w:ascii="Arial" w:hAnsi="Arial" w:cs="Arial"/>
          <w:sz w:val="23"/>
          <w:szCs w:val="23"/>
        </w:rPr>
        <w:t xml:space="preserve"> </w:t>
      </w:r>
      <w:hyperlink r:id="rId6" w:history="1">
        <w:r w:rsidRPr="00AD439A">
          <w:rPr>
            <w:rStyle w:val="Hyperlink"/>
            <w:rFonts w:ascii="Arial" w:hAnsi="Arial" w:cs="Arial"/>
            <w:sz w:val="23"/>
            <w:szCs w:val="23"/>
          </w:rPr>
          <w:br/>
        </w:r>
        <w:r w:rsidRPr="0065524F">
          <w:rPr>
            <w:rStyle w:val="Hyperlink"/>
            <w:rFonts w:asciiTheme="majorBidi" w:hAnsiTheme="majorBidi" w:cstheme="majorBidi"/>
            <w:sz w:val="24"/>
            <w:szCs w:val="24"/>
          </w:rPr>
          <w:t>mehwish.boota@giu.edu.pk</w:t>
        </w:r>
      </w:hyperlink>
    </w:p>
    <w:p w14:paraId="33963EE0" w14:textId="77777777" w:rsidR="0065524F" w:rsidRDefault="0065524F" w:rsidP="00743814">
      <w:pPr>
        <w:spacing w:after="0" w:line="240" w:lineRule="auto"/>
        <w:jc w:val="center"/>
        <w:rPr>
          <w:rFonts w:ascii="Arial" w:hAnsi="Arial" w:cs="Arial"/>
          <w:sz w:val="23"/>
          <w:szCs w:val="23"/>
        </w:rPr>
      </w:pPr>
    </w:p>
    <w:p w14:paraId="0D264171" w14:textId="048AAD93" w:rsidR="0065524F" w:rsidRPr="00BD6B21" w:rsidRDefault="001A2E76" w:rsidP="00743814">
      <w:pPr>
        <w:spacing w:after="0" w:line="240" w:lineRule="auto"/>
        <w:jc w:val="center"/>
        <w:rPr>
          <w:rFonts w:asciiTheme="majorBidi" w:hAnsiTheme="majorBidi" w:cstheme="majorBidi"/>
          <w:sz w:val="24"/>
          <w:szCs w:val="24"/>
        </w:rPr>
      </w:pPr>
      <w:r>
        <w:rPr>
          <w:rFonts w:asciiTheme="majorBidi" w:hAnsiTheme="majorBidi" w:cstheme="majorBidi"/>
          <w:sz w:val="24"/>
          <w:szCs w:val="24"/>
        </w:rPr>
        <w:t xml:space="preserve">Dr. </w:t>
      </w:r>
      <w:r w:rsidRPr="001A2E76">
        <w:rPr>
          <w:rFonts w:asciiTheme="majorBidi" w:hAnsiTheme="majorBidi" w:cstheme="majorBidi"/>
          <w:sz w:val="24"/>
          <w:szCs w:val="24"/>
        </w:rPr>
        <w:t>Hina Jaffery</w:t>
      </w:r>
    </w:p>
    <w:p w14:paraId="286758B8" w14:textId="2E1A9368" w:rsidR="0065524F" w:rsidRDefault="00DD51E1" w:rsidP="00743814">
      <w:pPr>
        <w:spacing w:after="0" w:line="240" w:lineRule="auto"/>
        <w:jc w:val="center"/>
        <w:rPr>
          <w:rFonts w:asciiTheme="majorBidi" w:hAnsiTheme="majorBidi" w:cstheme="majorBidi"/>
          <w:sz w:val="24"/>
          <w:szCs w:val="24"/>
        </w:rPr>
      </w:pPr>
      <w:r>
        <w:rPr>
          <w:rFonts w:asciiTheme="majorBidi" w:hAnsiTheme="majorBidi" w:cstheme="majorBidi"/>
          <w:sz w:val="24"/>
          <w:szCs w:val="24"/>
        </w:rPr>
        <w:t>Assistant Professor (HOD)</w:t>
      </w:r>
      <w:r w:rsidR="001A2E76" w:rsidRPr="00BD6B21">
        <w:rPr>
          <w:rFonts w:asciiTheme="majorBidi" w:hAnsiTheme="majorBidi" w:cstheme="majorBidi"/>
          <w:sz w:val="24"/>
          <w:szCs w:val="24"/>
        </w:rPr>
        <w:t>,</w:t>
      </w:r>
      <w:r w:rsidR="001A2E76">
        <w:rPr>
          <w:rFonts w:asciiTheme="majorBidi" w:hAnsiTheme="majorBidi" w:cstheme="majorBidi"/>
          <w:sz w:val="24"/>
          <w:szCs w:val="24"/>
        </w:rPr>
        <w:t xml:space="preserve"> Green Business School,</w:t>
      </w:r>
      <w:r w:rsidR="001A2E76" w:rsidRPr="00BD6B21">
        <w:rPr>
          <w:rFonts w:asciiTheme="majorBidi" w:hAnsiTheme="majorBidi" w:cstheme="majorBidi"/>
          <w:sz w:val="24"/>
          <w:szCs w:val="24"/>
        </w:rPr>
        <w:t xml:space="preserve"> </w:t>
      </w:r>
      <w:r w:rsidR="001A2E76">
        <w:rPr>
          <w:rFonts w:asciiTheme="majorBidi" w:hAnsiTheme="majorBidi" w:cstheme="majorBidi"/>
          <w:sz w:val="24"/>
          <w:szCs w:val="24"/>
        </w:rPr>
        <w:t>Green International University, Lahore</w:t>
      </w:r>
    </w:p>
    <w:p w14:paraId="48FD9474" w14:textId="088859CB" w:rsidR="001A2E76" w:rsidRPr="001A2E76" w:rsidRDefault="001A2E76" w:rsidP="00743814">
      <w:pPr>
        <w:spacing w:after="0" w:line="240" w:lineRule="auto"/>
        <w:jc w:val="center"/>
        <w:rPr>
          <w:rStyle w:val="Hyperlink"/>
          <w:rFonts w:asciiTheme="majorBidi" w:hAnsiTheme="majorBidi" w:cstheme="majorBidi"/>
          <w:sz w:val="24"/>
          <w:szCs w:val="24"/>
        </w:rPr>
      </w:pPr>
      <w:r w:rsidRPr="001A2E76">
        <w:rPr>
          <w:rStyle w:val="Hyperlink"/>
          <w:rFonts w:asciiTheme="majorBidi" w:hAnsiTheme="majorBidi" w:cstheme="majorBidi"/>
          <w:sz w:val="24"/>
          <w:szCs w:val="24"/>
        </w:rPr>
        <w:t>hina.jaffery@giu.edu.pk</w:t>
      </w:r>
    </w:p>
    <w:p w14:paraId="378C7DF4" w14:textId="77777777" w:rsidR="001A2E76" w:rsidRDefault="001A2E76" w:rsidP="000E27CD">
      <w:pPr>
        <w:spacing w:line="240" w:lineRule="auto"/>
        <w:jc w:val="both"/>
        <w:rPr>
          <w:rStyle w:val="Strong"/>
          <w:rFonts w:ascii="Times New Roman" w:hAnsi="Times New Roman" w:cs="Times New Roman"/>
          <w:sz w:val="24"/>
          <w:szCs w:val="24"/>
        </w:rPr>
      </w:pPr>
    </w:p>
    <w:p w14:paraId="41B4E755" w14:textId="45B7CEFC" w:rsidR="002666B8" w:rsidRPr="002B7782" w:rsidRDefault="002666B8" w:rsidP="001A2E76">
      <w:pPr>
        <w:spacing w:before="240" w:line="240" w:lineRule="auto"/>
        <w:jc w:val="both"/>
        <w:rPr>
          <w:rFonts w:ascii="Times New Roman" w:hAnsi="Times New Roman" w:cs="Times New Roman"/>
          <w:sz w:val="24"/>
          <w:szCs w:val="24"/>
        </w:rPr>
      </w:pPr>
      <w:r w:rsidRPr="002B7782">
        <w:rPr>
          <w:rStyle w:val="Strong"/>
          <w:rFonts w:ascii="Times New Roman" w:hAnsi="Times New Roman" w:cs="Times New Roman"/>
          <w:sz w:val="24"/>
          <w:szCs w:val="24"/>
        </w:rPr>
        <w:t>Abstract</w:t>
      </w:r>
    </w:p>
    <w:p w14:paraId="1F6E68A3" w14:textId="7A7A7221" w:rsidR="005A5017" w:rsidRPr="002B7782" w:rsidRDefault="005A5017" w:rsidP="001A2E76">
      <w:pPr>
        <w:spacing w:before="240" w:line="240" w:lineRule="auto"/>
        <w:jc w:val="both"/>
        <w:rPr>
          <w:rFonts w:ascii="Times New Roman" w:hAnsi="Times New Roman" w:cs="Times New Roman"/>
          <w:sz w:val="24"/>
          <w:szCs w:val="24"/>
        </w:rPr>
      </w:pPr>
      <w:r w:rsidRPr="002B7782">
        <w:rPr>
          <w:rFonts w:ascii="Times New Roman" w:hAnsi="Times New Roman" w:cs="Times New Roman"/>
          <w:sz w:val="24"/>
          <w:szCs w:val="24"/>
        </w:rPr>
        <w:t>Pakistan's dependence on a fractional reserve and interest system of money has helped to sustain the persistent fiscal deficits, mushrooming of public debt and inflation. This research analyses the possibility of moving to a full-reserve interest-free monetary system by combining the knowledge gained from Islamic monetary principles, Chicago Plan, and sovereign money theory. The methodology is a blend of theoretical analysis and comparative historical evidence drawn from Canada's monetary operations (1935-1975), Islamic finance experience and global Central Bank Digital Currency (CBDC) pilots using a conceptual Stock-Flow Consistent (SFC) structure showing the accounting differences between debt-based and sovereign monetary regimes. The results suggest that a sovereign money system could be useful in decreasing the dependence of Pakistan on interest-bearing debt, greater fiscal space due to seigniorage and more monetary-fiscal coordination in the event that money creation is balanced with productive capacity and overlaid with robust institutional protection. While there are substantial issues to overcome, the model conforms closely to Islamic economic goals, by eliminating riba, being distributive and promoting broad-based public welfare.</w:t>
      </w:r>
    </w:p>
    <w:p w14:paraId="3C0A7B83" w14:textId="77777777" w:rsidR="002666B8" w:rsidRPr="002B7782" w:rsidRDefault="002666B8" w:rsidP="001A2E76">
      <w:pPr>
        <w:spacing w:before="240" w:line="240" w:lineRule="auto"/>
        <w:jc w:val="both"/>
        <w:rPr>
          <w:rFonts w:ascii="Times New Roman" w:hAnsi="Times New Roman" w:cs="Times New Roman"/>
          <w:sz w:val="24"/>
          <w:szCs w:val="24"/>
        </w:rPr>
      </w:pPr>
      <w:r w:rsidRPr="003F79AD">
        <w:rPr>
          <w:rStyle w:val="Strong"/>
          <w:rFonts w:ascii="Times New Roman" w:hAnsi="Times New Roman" w:cs="Times New Roman"/>
          <w:i/>
          <w:iCs/>
          <w:sz w:val="24"/>
          <w:szCs w:val="24"/>
        </w:rPr>
        <w:t>Keywords:</w:t>
      </w:r>
      <w:r w:rsidRPr="002B7782">
        <w:rPr>
          <w:rFonts w:ascii="Times New Roman" w:hAnsi="Times New Roman" w:cs="Times New Roman"/>
          <w:sz w:val="24"/>
          <w:szCs w:val="24"/>
        </w:rPr>
        <w:t xml:space="preserve"> Full-reserve banking; Interest-free money; Debt elimination; CBDCs; Pakistan; Islamic finance; SFC modeling.</w:t>
      </w:r>
    </w:p>
    <w:p w14:paraId="79311A51" w14:textId="77777777" w:rsidR="002666B8" w:rsidRPr="002B7782" w:rsidRDefault="002666B8" w:rsidP="001A2E76">
      <w:pPr>
        <w:spacing w:before="240" w:line="240" w:lineRule="auto"/>
        <w:jc w:val="both"/>
        <w:rPr>
          <w:rFonts w:ascii="Times New Roman" w:hAnsi="Times New Roman" w:cs="Times New Roman"/>
          <w:sz w:val="24"/>
          <w:szCs w:val="24"/>
        </w:rPr>
      </w:pPr>
      <w:r w:rsidRPr="002B7782">
        <w:rPr>
          <w:rStyle w:val="Strong"/>
          <w:rFonts w:ascii="Times New Roman" w:hAnsi="Times New Roman" w:cs="Times New Roman"/>
          <w:sz w:val="24"/>
          <w:szCs w:val="24"/>
        </w:rPr>
        <w:t>1. Introduction</w:t>
      </w:r>
    </w:p>
    <w:p w14:paraId="6BCB8B6F" w14:textId="77777777" w:rsidR="002666B8" w:rsidRPr="002B7782" w:rsidRDefault="002666B8" w:rsidP="001A2E76">
      <w:pPr>
        <w:spacing w:before="240" w:line="240" w:lineRule="auto"/>
        <w:jc w:val="both"/>
        <w:rPr>
          <w:rFonts w:ascii="Times New Roman" w:hAnsi="Times New Roman" w:cs="Times New Roman"/>
          <w:sz w:val="24"/>
          <w:szCs w:val="24"/>
        </w:rPr>
      </w:pPr>
      <w:r w:rsidRPr="002B7782">
        <w:rPr>
          <w:rFonts w:ascii="Times New Roman" w:hAnsi="Times New Roman" w:cs="Times New Roman"/>
          <w:sz w:val="24"/>
          <w:szCs w:val="24"/>
        </w:rPr>
        <w:t xml:space="preserve">Pakistan economic is unstable under the fractional reserve banking system, where the bank creates money by interest-bearing lending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{"citationItems":[{"id":"ITEM-1","itemData":{"DOI":"10.2139/SSRN.2071164","abstract":"This paper conceptualises the process, existence and the implications of fractional reserve banking in our present banking system (both conventional and Islamic). It then reasons the conformity of our contemporary Islamic banking, finance and investment institutions towards achieving the objectives of Islamic law (maqasid al-shariah) operating under the FRB framework. The paper uses conceptual and logical deductions from Qur’an and its teachings to show how fractional reserve banking violates the objectives of Islamic law (maqasid al-shariah), therefore it is impermissible in Islamic perspective. The paper also discusses some scholars’ view in support of the system. A measurement tool which is based on the objectives of Islamic law (maqasid al-shariah) parameters will be eventually used to measure empirically the implication of such system (Fractional ReserveBanking) to the society.   The paper concludes with the believe and hope that Islamic banking, finance and investment institutions should avoid the system and operate under a monetary system acceptable in Islam that will help attain the objectives of Islamic law (maqasid al-shariah).","author":[{"dropping-particle":"","family":"Dangulbi","given":"Sani M.","non-dropping-particle":"","parse-names":false,"suffix":""},{"dropping-particle":"","family":"Salleh","given":"Arfah","non-dropping-particle":"","parse-names":false,"suffix":""},{"dropping-particle":"","family":"Meera","given":"Ahamed Kameel","non-dropping-particle":"","parse-names":false,"suffix":""},{"dropping-particle":"","family":"Aziuddin","given":"A.","non-dropping-particle":"","parse-names":false,"suffix":""}],"container-title":"SSRN Electronic Journal","id":"ITEM-1","issued":{"date-parts":[["2012","5","31"]]},"publisher":"Elsevier BV","title":"Fractional Reserve Banking and Maqasid Al-Shariah: An Incompatible Practice?","type":"article-journal"},"uris":["http://www.mendeley.com/documents/?uuid=d098827c-b7cd-3aa7-8eeb-489ce73015b4"]},{"id":"ITEM-2","itemData":{"DOI":"10.3390/SU5062802","ISSN":"2071-1050","abstract":"Current macroeconomic policy promotes continuous economic growth. Unemployment, poverty and debt are associated with insufficient growth. Economic activity depends upon the transformation of natural materials, ultimately returning to the environment as waste. Current levels of economic throughput exceed the planet’s carrying capacity. As a result of poorly constructed economic institutions, society faces the unacceptable choice between ecological catastrophe and human misery. A transition to a steady-state economy is required, characterized by a rate of throughput compatible with planetary boundaries. This paper contributes to the development of a steady-state economy by addressing US monetary and fiscal policies. A steady-state monetary policy would support counter-cyclical, debt-free vertical money creation through the public sector, in ways that contribute to sustainable well-being. The implication for a steady-state fiscal policy is that any lending or spending requires a careful balance of recovery of money, not as a means of revenue, but as an economic imperative to meet monetary policy goals.  A steady-state fiscal policy would prioritize targeted public goods investments, taxation of ecological “bads” and economic rent and implementation of progressive tax structures. Institutional innovations are considered, including common asset trusts, to regulate throughput, and a public monetary trust, to strictly regulate money supply.","author":[{"dropping-particle":"","family":"Farley","given":"Joshua","non-dropping-particle":"","parse-names":false,"suffix":""},{"dropping-particle":"","family":"Burke","given":"Matthew","non-dropping-particle":"","parse-names":false,"suffix":""},{"dropping-particle":"","family":"Flomenhoft","given":"Gary","non-dropping-particle":"","parse-names":false,"suffix":""},{"dropping-particle":"","family":"Kelly","given":"Brian","non-dropping-particle":"","parse-names":false,"suffix":""},{"dropping-particle":"","family":"Forrest Murray","given":"D.","non-dropping-particle":"","parse-names":false,"suffix":""},{"dropping-particle":"","family":"Posner","given":"Stephen","non-dropping-particle":"","parse-names":false,"suffix":""},{"dropping-particle":"","family":"Putnam","given":"Matthew","non-dropping-particle":"","parse-names":false,"suffix":""},{"dropping-particle":"","family":"Scanlan","given":"Adam","non-dropping-particle":"","parse-names":false,"suffix":""},{"dropping-particle":"","family":"Witham","given":"Aaron","non-dropping-particle":"","parse-names":false,"suffix":""}],"container-title":"Sustainability 2013, Vol. 5, Pages 2802-2826","id":"ITEM-2","issue":"6","issued":{"date-parts":[["2013","6","20"]]},"page":"2802-2826","publisher":"Multidisciplinary Digital Publishing Institute","title":"Monetary and Fiscal Policies for a Finite Planet","type":"article-journal","volume":"5"},"uris":["http://www.mendeley.com/documents/?uuid=29aa5c67-c7be-3f9e-aae8-5771241bcaf8"]},{"id":"ITEM-3","itemData":{"DOI":"10.21154/INVEST.V3I1.5780","ISSN":"2776-4354","abstract":"This paper explores the legitimacy of the use of Fractional Reserve System in Islamic banking from the normative premise of Islamic economics. The paper uses a methodology of structured literature review and a conceptual analysis of the literature following the approach of Critical Interpretive Synthesis (CIS). The first section of the paper presents the analysis on fractional Reserve Bank (FRB) system, how it leads to multiplication of money supply and influence the long-term inflation and business cycles; the second part of the article explains the extent to which this framework obstructs in the achievement of the objectives of Islamic Economics. This is followed by a reflective analysis of concepts and information gathered from the literature to evaluate how FRB system fits into the fabric of Islamic Economic. The second section of this paper explains how Islamic Banks, with an FRB model and its inclination towards debt-based instruments, would allow Islamic banks to contribute to the problem of inflation, even if they use Musharakah and Mudarabah as a mode of finance.","author":[{"dropping-particle":"","family":"Javaid","given":"Omar","non-dropping-particle":"","parse-names":false,"suffix":""}],"container-title":"Invest Journal of Sharia &amp; Economic Law","id":"ITEM-3","issue":"1","issued":{"date-parts":[["2023","5","20"]]},"page":"41-69","publisher":"STAIN Ponorogo","title":"Money Multiplication in Islamic Banking ”“ A Discussion on its Impact on Distributive Justice","type":"article-journal","volume":"3"},"uris":["http://www.mendeley.com/documents/?uuid=21c0fcff-8b1c-3879-86db-0a46a08c564d"]}],"mendeley":{"formattedCitation":"(Dangulbi et al., 2012; Farley et al., 2013; Javaid, 2023)","plainTextFormattedCitation":"(Dangulbi et al., 2012; Farley et al., 2013; Javaid, 2023)","previouslyFormattedCitation":"(Dangulbi et al., 2012; Farley et al., 2013; Javaid, 2023)"},"properties":{"noteIndex":0},"schema":"https://github.com/citation-style-language/schema/raw/master/csl-citation.json"}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(Dangulbi et al., 2012; Farley et al., 2013; Javaid, 2023)</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This leads to increasing government debt, fiscal deficit and inflation as bond issuance transfers wealth to financial institutions and restricts spending on development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{"citationItems":[{"id":"ITEM-1","itemData":{"DOI":"10.1111/MECA.12325;JOURNAL:JOURNAL:1467999X;WGROUP:STRING:PUBLICATION","ISSN":"1467999X","abstract":"Sraffian supermultiplier models, as well as Kaleckian distribution and growth models that make use of non-capacity creating autonomous demand growth to cope with Harrodian instability, have paid little attention to the financial side of autonomous demand growth as the driver of the system. Therefore, we link the issue of Harrodian instability in Kaleckian models driven by non-capacity creating autonomous demand growth with the associated financial dynamics. For a simple model with autonomous government expenditure growth, zero interest rates and no consumption out of wealth, we find that adding debt dynamics does not change the results obtained by Skott (2017) based on Lavoie's (2016) model without debt, each published in this journal. Hence, in this simple model, the long-run equilibrium is stable if Harrodian instability is not too strong and the autonomous growth rate does not exceed a maximum given by the long-run equilibrium saving rate. Introducing interest payments on government debt as well as consumption out of wealth into the model, however, changes the stability requirements: First, the autonomous growth rate of government expenditures should not fall short of the exogenous monetary interest rate. Second, this growth rate should not exceed a maximum given by the saving rate in the long-run equilibrium net of the propensity to consume out of wealth. Third, Harrodian instability may be almost as strong as in the simple model without violating long-run overall stability, particularly if the propensity to consume out of wealth is low. We claim that irrespective of the relevance or irrelevance of Harrodian instability, it is necessary to introduce financial variables into models driven by non-capacity creating autonomous demand in order to assess the long-run (in-)stability and sustainability of growth.","author":[{"dropping-particle":"","family":"Hein","given":"Eckhard","non-dropping-particle":"","parse-names":false,"suffix":""},{"dropping-particle":"","family":"Woodgate","given":"Ryan","non-dropping-particle":"","parse-names":false,"suffix":""}],"container-title":"Metroeconomica","id":"ITEM-1","issue":"2","issued":{"date-parts":[["2020","5","1"]]},"page":"388-404","publisher":"John Wiley and Sons Inc","title":"Stability issues in Kaleckian models driven by autonomous demand growth—Harrodian instability and debt dynamics","type":"article-journal","volume":"72"},"uris":["http://www.mendeley.com/documents/?uuid=a7f71dfd-ebef-3162-b4fa-9d250c0d1692"]},{"id":"ITEM-2","itemData":{"DOI":"10.2139/SSRN.4931816","abstract":"This article examines the ethics and nature of fiat monetary systems. It demonstrates that they are unethical, fraudulent, and have detrimental economic and societal consequences. Existing monetary systems feature a fiat national currency and fractional reserve commercial banking. Fiat currencies are an unsound form of money with an unlimited supply typically issued by a government. Fiat monetary systems involve artificially expanding the money and credit supply (monetary inflation) by the central bank and fractional reserve commercial banks. This practice is unethical and fraudulent because it deceives, distorts, defrauds, and destroys. Fiat monetary systems violate the universal moral principles of truth, justice, and nonaggression. They lead to ruinous consequences, such as price inflation, economic distortions, instability, crises, and other issues that undermine economic prosperity and social stability. The article contains four parts: the first outlines the definition of a fiat monetary system; the second discusses ethics and economics as a \"value-free\" science; the third demonstrates the unethical and ruinous nature of fiat monetary systems; and the fourth looks into the state's preference for fiat currency systems.","author":[{"dropping-particle":"","family":"Tacanho","given":"Manuel","non-dropping-particle":"","parse-names":false,"suffix":""}],"container-title":"SSRN Electronic Journal","id":"ITEM-2","issued":{"date-parts":[["2024","8","20"]]},"publisher":"Elsevier BV","title":"The Fraudulent and Ruinous Nature of Fiat Monetary Systems","type":"article-journal"},"uris":["http://www.mendeley.com/documents/?uuid=ab7f93ee-e13f-3b92-a4dd-d34e5ebc20b5"]}],"mendeley":{"formattedCitation":"(Hein &amp; Woodgate, 2020; Tacanho, 2024)","plainTextFormattedCitation":"(Hein &amp; Woodgate, 2020; Tacanho, 2024)","previouslyFormattedCitation":"(Hein &amp; Woodgate, 2020; Tacanho, 2024)"},"properties":{"noteIndex":0},"schema":"https://github.com/citation-style-language/schema/raw/master/csl-citation.json"}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(Hein &amp; Woodgate, 2020; Tacanho, 2024)</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Interest-driven credit also generates boom-bust cycles, with a damaging effect on growth and rising inequality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{"citationItems":[{"id":"ITEM-1","itemData":{"DOI":"10.2139/SSRN.2820597","abstract":"This study analyzes the effect of a money-financed policy for fiscal reform. We introduce a realistic setting in which real output is not given by an exogenous variable, but is determined by effective demand in a monetary growth model. Using this model, we compare the effects of the money-financed policy for fiscal reform with the effects of various policies to prevent increasing fiscal deficit. We conclude that the money-financed policy is the most desirable from the viewpoint of curbing the fiscal deficit and raising gross domestic product.","author":[{"dropping-particle":"","family":"Aoki","given":"Masaru","non-dropping-particle":"","parse-names":false,"suffix":""}],"container-title":"SSRN Electronic Journal","id":"ITEM-1","issued":{"date-parts":[["2016","8","9"]]},"publisher":"Elsevier BV","title":"The Effect of Money-Financed Policy for Fiscal Reform","type":"article-journal"},"uris":["http://www.mendeley.com/documents/?uuid=8db828dc-fa45-30e4-8b3e-98e8fe1c7b5a"]},{"id":"ITEM-2","itemData":{"DOI":"10.3390/SU5062802","ISSN":"2071-1050","abstract":"Current macroeconomic policy promotes continuous economic growth. Unemployment, poverty and debt are associated with insufficient growth. Economic activity depends upon the transformation of natural materials, ultimately returning to the environment as waste. Current levels of economic throughput exceed the planet’s carrying capacity. As a result of poorly constructed economic institutions, society faces the unacceptable choice between ecological catastrophe and human misery. A transition to a steady-state economy is required, characterized by a rate of throughput compatible with planetary boundaries. This paper contributes to the development of a steady-state economy by addressing US monetary and fiscal policies. A steady-state monetary policy would support counter-cyclical, debt-free vertical money creation through the public sector, in ways that contribute to sustainable well-being. The implication for a steady-state fiscal policy is that any lending or spending requires a careful balance of recovery of money, not as a means of revenue, but as an economic imperative to meet monetary policy goals.  A steady-state fiscal policy would prioritize targeted public goods investments, taxation of ecological “bads” and economic rent and implementation of progressive tax structures. Institutional innovations are considered, including common asset trusts, to regulate throughput, and a public monetary trust, to strictly regulate money supply.","author":[{"dropping-particle":"","family":"Farley","given":"Joshua","non-dropping-particle":"","parse-names":false,"suffix":""},{"dropping-particle":"","family":"Burke","given":"Matthew","non-dropping-particle":"","parse-names":false,"suffix":""},{"dropping-particle":"","family":"Flomenhoft","given":"Gary","non-dropping-particle":"","parse-names":false,"suffix":""},{"dropping-particle":"","family":"Kelly","given":"Brian","non-dropping-particle":"","parse-names":false,"suffix":""},{"dropping-particle":"","family":"Forrest Murray","given":"D.","non-dropping-particle":"","parse-names":false,"suffix":""},{"dropping-particle":"","family":"Posner","given":"Stephen","non-dropping-particle":"","parse-names":false,"suffix":""},{"dropping-particle":"","family":"Putnam","given":"Matthew","non-dropping-particle":"","parse-names":false,"suffix":""},{"dropping-particle":"","family":"Scanlan","given":"Adam","non-dropping-particle":"","parse-names":false,"suffix":""},{"dropping-particle":"","family":"Witham","given":"Aaron","non-dropping-particle":"","parse-names":false,"suffix":""}],"container-title":"Sustainability 2013, Vol. 5, Pages 2802-2826","id":"ITEM-2","issue":"6","issued":{"date-parts":[["2013","6","20"]]},"page":"2802-2826","publisher":"Multidisciplinary Digital Publishing Institute","title":"Monetary and Fiscal Policies for a Finite Planet","type":"article-journal","volume":"5"},"uris":["http://www.mendeley.com/documents/?uuid=29aa5c67-c7be-3f9e-aae8-5771241bcaf8"]}],"mendeley":{"formattedCitation":"(Aoki, 2016; Farley et al., 2013)","plainTextFormattedCitation":"(Aoki, 2016; Farley et al., 2013)","previouslyFormattedCitation":"(Aoki, 2016; Farley et al., 2013)"},"properties":{"noteIndex":0},"schema":"https://github.com/citation-style-language/schema/raw/master/csl-citation.json"}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(Aoki, 2016; Farley et al., 2013)</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w:t>
      </w:r>
    </w:p>
    <w:p w14:paraId="7AB124D2" w14:textId="77777777" w:rsidR="002666B8" w:rsidRPr="002B7782" w:rsidRDefault="002666B8" w:rsidP="001A2E76">
      <w:pPr>
        <w:spacing w:before="240" w:line="240" w:lineRule="auto"/>
        <w:jc w:val="both"/>
        <w:rPr>
          <w:rFonts w:ascii="Times New Roman" w:hAnsi="Times New Roman" w:cs="Times New Roman"/>
          <w:sz w:val="24"/>
          <w:szCs w:val="24"/>
        </w:rPr>
      </w:pPr>
      <w:r w:rsidRPr="002B7782">
        <w:rPr>
          <w:rFonts w:ascii="Times New Roman" w:hAnsi="Times New Roman" w:cs="Times New Roman"/>
          <w:sz w:val="24"/>
          <w:szCs w:val="24"/>
        </w:rPr>
        <w:lastRenderedPageBreak/>
        <w:t xml:space="preserve">A full-reserve and interest-free monetary system provides an alternative. Money creation is centralized, fully backed by reserves, and private lending is not involved, which is consistent with Islamic finance rules and prohibitions of riba and encourages the distribution of wealth through zakat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{"citationItems":[{"id":"ITEM-1","itemData":{"DOI":"10.2139/SSRN.3348465","abstract":"It is widely known that in a fiat currency system, governments can create money tokens to meet public expenditure, then take some of them back through taxation or bond issue to adjust the money supply to a desired level. Yet the treasury departments in most countries strive to formulate fiscal policies in an attempt to match taxation with public expenditure while, at the same time, the central banks use monetary policy instruments for regulating money supply. The key question addressed in this research is whether the policies of the treasury departments and central banks are relevant to the functioning of the present-day economies where fiat currency is supposed to facilitate transactions rather than being a commodity. A parsimonious model of the macroeconomic system subsuming also the fiscal and monetary interventions is presented. The model is then used to understand the relevance of taxation to fiat money and to explore alternative policy levers for funding public expenditure and regulating money supply while delinking expenditure from taxation. It is proposed thatÂ the public spending can be entirely funded through deficits, while taxation together with open market operations is used as inflation control instruments. Control mechanisms for driving taxation and open market operations are explored.","author":[{"dropping-particle":"","family":"Saeed","given":"Khalid","non-dropping-particle":"","parse-names":false,"suffix":""}],"container-title":"SSRN Electronic Journal","id":"ITEM-1","issued":{"date-parts":[["2019","3","4"]]},"publisher":"Elsevier BV","title":"Unlinking Public Finance and Taxation in a Fiat Currency System","type":"article-journal"},"uris":["http://www.mendeley.com/documents/?uuid=4d3460c4-fd4c-3148-9e8f-ea304a4262f7"]},{"id":"ITEM-2","itemData":{"DOI":"10.2139/SSRN.4890683","author":[{"dropping-particle":"","family":"Berkeley","given":"Andrew","non-dropping-particle":"","parse-names":false,"suffix":""},{"dropping-particle":"","family":"Ryan-Collins","given":"Josh","non-dropping-particle":"","parse-names":false,"suffix":""},{"dropping-particle":"","family":"Ruge","given":"Asker Voldsgaard","non-dropping-particle":"","parse-names":false,"suffix":""},{"dropping-particle":"","family":"Tye","given":"Richard","non-dropping-particle":"","parse-names":false,"suffix":""},{"dropping-particle":"","family":"Wilson","given":"Neil","non-dropping-particle":"","parse-names":false,"suffix":""}],"container-title":"SSRN Electronic Journal","id":"ITEM-2","issued":{"date-parts":[["2024","1","26"]]},"publisher":"Elsevier BV","title":"The self-financing state: an institutional analysis of government expenditure, revenue collection and debt issuance operations in the United Kingdom","type":"article-journal"},"uris":["http://www.mendeley.com/documents/?uuid=db306c09-685b-3c83-bea4-5796869264e3"]}],"mendeley":{"formattedCitation":"(Berkeley et al., 2024; Saeed, 2019)","plainTextFormattedCitation":"(Berkeley et al., 2024; Saeed, 2019)","previouslyFormattedCitation":"(Berkeley et al., 2024; Saeed, 2019)"},"properties":{"noteIndex":0},"schema":"https://github.com/citation-style-language/schema/raw/master/csl-citation.json"}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(Berkeley et al., 2024; Saeed, 2019)</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Such system connects money with productive capacity and in the meantime less debt driven instability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{"citationItems":[{"id":"ITEM-1","itemData":{"DOI":"10.1093/CJE/BEAD009","ISSN":"0309-166X","abstract":"This paper addresses the limitations of Modern Money Theory (MMT) as a guide to development policy. We explore two main questions on this topic: whether policies championed by MMT advocates (i) ought to be implemented in low- and middle-income economies and (ii) can be implemented. In relation to the first question, we argue that the MMT literature mischaracterises the essence of the development challenge for low- and middle-income economies. Our argument is that the chief long-run growth challenge faced by developing countries concerns structural transformation rather than general aggregate demand insufficiency. We use several formal representations of the consumption-investment trade-off in growth theory, found in the Harrod-Domar growth model, the Feldman-Mahalanobis model and Kalecki's 1963 growth model to illustrate this point. Concerning the second question, we argue that even if MMT had the correct diagnosis of the principal growth challenge faced by developing countries, its chief policy recommendations would likely be counter-productive if implemented outside of select advanced economies. We draw from the international economics literature on currency hierarchy and exchange rate volatility to illustrate this point.","author":[{"dropping-particle":"","family":"Aboobaker","given":"Adam","non-dropping-particle":"","parse-names":false,"suffix":""},{"dropping-particle":"","family":"Ugurlu","given":"Esra Nur","non-dropping-particle":"","parse-names":false,"suffix":""}],"container-title":"Cambridge Journal of Economics","id":"ITEM-1","issue":"3","issued":{"date-parts":[["2023","6","3"]]},"page":"555-574","publisher":"Oxford Academic","title":"Weaknesses of MMT as a guide to development policy","type":"article-journal","volume":"47"},"uris":["http://www.mendeley.com/documents/?uuid=bf5f24b2-d473-3ee2-afbc-9a310c4b1484"]},{"id":"ITEM-2","itemData":{"DOI":"10.1111/MECA.12325;JOURNAL:JOURNAL:1467999X;WGROUP:STRING:PUBLICATION","ISSN":"1467999X","abstract":"Sraffian supermultiplier models, as well as Kaleckian distribution and growth models that make use of non-capacity creating autonomous demand growth to cope with Harrodian instability, have paid little attention to the financial side of autonomous demand growth as the driver of the system. Therefore, we link the issue of Harrodian instability in Kaleckian models driven by non-capacity creating autonomous demand growth with the associated financial dynamics. For a simple model with autonomous government expenditure growth, zero interest rates and no consumption out of wealth, we find that adding debt dynamics does not change the results obtained by Skott (2017) based on Lavoie's (2016) model without debt, each published in this journal. Hence, in this simple model, the long-run equilibrium is stable if Harrodian instability is not too strong and the autonomous growth rate does not exceed a maximum given by the long-run equilibrium saving rate. Introducing interest payments on government debt as well as consumption out of wealth into the model, however, changes the stability requirements: First, the autonomous growth rate of government expenditures should not fall short of the exogenous monetary interest rate. Second, this growth rate should not exceed a maximum given by the saving rate in the long-run equilibrium net of the propensity to consume out of wealth. Third, Harrodian instability may be almost as strong as in the simple model without violating long-run overall stability, particularly if the propensity to consume out of wealth is low. We claim that irrespective of the relevance or irrelevance of Harrodian instability, it is necessary to introduce financial variables into models driven by non-capacity creating autonomous demand in order to assess the long-run (in-)stability and sustainability of growth.","author":[{"dropping-particle":"","family":"Hein","given":"Eckhard","non-dropping-particle":"","parse-names":false,"suffix":""},{"dropping-particle":"","family":"Woodgate","given":"Ryan","non-dropping-particle":"","parse-names":false,"suffix":""}],"container-title":"Metroeconomica","id":"ITEM-2","issue":"2","issued":{"date-parts":[["2020","5","1"]]},"page":"388-404","publisher":"John Wiley and Sons Inc","title":"Stability issues in Kaleckian models driven by autonomous demand growth—Harrodian instability and debt dynamics","type":"article-journal","volume":"72"},"uris":["http://www.mendeley.com/documents/?uuid=a7f71dfd-ebef-3162-b4fa-9d250c0d1692"]}],"mendeley":{"formattedCitation":"(Aboobaker &amp; Ugurlu, 2023; Hein &amp; Woodgate, 2020)","plainTextFormattedCitation":"(Aboobaker &amp; Ugurlu, 2023; Hein &amp; Woodgate, 2020)","previouslyFormattedCitation":"(Aboobaker &amp; Ugurlu, 2023; Hein &amp; Woodgate, 2020)"},"properties":{"noteIndex":0},"schema":"https://github.com/citation-style-language/schema/raw/master/csl-citation.json"}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(Aboobaker &amp; Ugurlu, 2023; Hein &amp; Woodgate, 2020)</w:t>
      </w:r>
      <w:r w:rsidRPr="002B7782">
        <w:rPr>
          <w:rFonts w:ascii="Times New Roman" w:hAnsi="Times New Roman" w:cs="Times New Roman"/>
          <w:sz w:val="24"/>
          <w:szCs w:val="24"/>
        </w:rPr>
        <w:fldChar w:fldCharType="end"/>
      </w:r>
    </w:p>
    <w:p w14:paraId="78DE8419" w14:textId="77777777" w:rsidR="002666B8" w:rsidRPr="002B7782" w:rsidRDefault="002666B8" w:rsidP="001A2E76">
      <w:pPr>
        <w:spacing w:before="240" w:line="240" w:lineRule="auto"/>
        <w:jc w:val="both"/>
        <w:rPr>
          <w:rFonts w:ascii="Times New Roman" w:hAnsi="Times New Roman" w:cs="Times New Roman"/>
          <w:sz w:val="24"/>
          <w:szCs w:val="24"/>
          <w:highlight w:val="yellow"/>
        </w:rPr>
      </w:pPr>
      <w:r w:rsidRPr="002B7782">
        <w:rPr>
          <w:rFonts w:ascii="Times New Roman" w:hAnsi="Times New Roman" w:cs="Times New Roman"/>
          <w:sz w:val="24"/>
          <w:szCs w:val="24"/>
        </w:rPr>
        <w:t xml:space="preserve">Empirical evidence shows that sovereign, interest-free currency can eliminate private borrowing dependence that is to reduce debt and deficit without causing inflation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Journal","id":"ITEM-1","issued":{"date-parts":[["2015","10","23"]]},"number-of-pages":"52","publisher":"Elsevier BV","title":"Is Monetary Financing Inflationary? A Case Study of the Canadian Economy, 1935-75","type":"report"},"uris":["http://www.mendeley.com/documents/?uuid=804accf2-9032-3758-bcde-f1836393fa91"]},{"id":"ITEM-2","itemData":{"abstract":"Climate change poses new challenges to central banks, regulators and supervisors.This book reviews ways of addressing these new risks within central banks' financial stability mandate.However, integrating climate-related risk analysis into financial stability monitoring is particularly challenging because of the radical uncertainty associated with a physical, social and economic phenomenon that is constantly changing and involves complex dynamics and chain reactions.Traditional backward-looking risk assessments and existing climate-economic models cannot anticipate accurately enough the form that climate-related risks will take.These include what we call \"green swan\" risks: potentially extremely financially disruptive events that could be behind the next systemic financial crisis.Central banks have a role to play in avoiding such an outcome, including by seeking to improve their understanding of climaterelated risks through the development of forward-looking scenario-based analysis.But central banks alone cannot mitigate climate change.This complex collective action problem requires coordinating actions among many players including governments, the private sector, civil society and the international community.Central banks can therefore have an additional role to play in helping coordinate the measures to fight climate change.Those include climate mitigation policies such as carbon pricing, the integration of sustainability into financial practices and accounting frameworks, the search for appropriate policy mixes, and the development of new financial mechanisms at the international level.All these actions will be complex to coordinate and could have significant redistributive consequences that should be adequately handled, yet they are essential to preserve long-term financial (and price) stability in the age of climate change.Scientific knowledge is as much an understanding of the diversity of situations for which a theory or its models are relevant as an understanding of its limits.","author":[{"dropping-particle":"","family":"Riazanova","given":"Nadiia","non-dropping-particle":"","parse-names":false,"suffix":""}],"container-title":"Fìnansi Ukraïni","id":"ITEM-2","issue":"11","issued":{"date-parts":[["2023"]]},"page":"86-98","title":"European vector of the sustainable development – the guideline for corporate and public finance in Ukraine","type":"article-journal"},"uris":["http://www.mendeley.com/documents/?uuid=8de68dc8-5472-35d4-9556-fe402bfe2625"]},{"id":"ITEM-3","itemData":{"abstract":"This evolutionary paper traces the interaction of monetary and fiscal policy, assuming lag reserve accounting in a fiat monetary system. It illustrates: Sovereign debt functions as interest rate support. Taxes function to create a demand for federal spending. The myth of the money multiplier. Taxed advantaged savings plans create a need for deficit spending. Exports are the cost of imports.","author":[{"dropping-particle":"","family":"Mosler","given":"Warren","non-dropping-particle":"","parse-names":false,"suffix":""}],"container-title":"Macroeconomics","id":"ITEM-3","issued":{"date-parts":[["1995","2","14"]]},"publisher":"University Library of Munich, Germany","title":"Soft Currency Economics","type":"article-journal"},"uris":["http://www.mendeley.com/documents/?uuid=716ef0c5-6e32-396b-80d9-f1b95cc8b13b"]}],"mendeley":{"formattedCitation":"(Mosler, 1995; Riazanova, 2023; Ryan-Collins, 2015)","plainTextFormattedCitation":"(Mosler, 1995; Riazanova, 2023; Ryan-Collins, 2015)","previouslyFormattedCitation":"(Mosler, 1995; Riazanova, 2023; Ryan-Collins, 2015)"},"properties":{"noteIndex":0},"schema":"https://github.com/citation-style-language/schema/raw/master/csl-citation.json"}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(Mosler, 1995; Riazanova, 2023; Ryan-Collins, 2015)</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Historical cases such as Canada (1935-1975) confirm that monetary financing that is consistent with growth can keep the fiscal balance and prices under control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Journal","id":"ITEM-1","issued":{"date-parts":[["2015","10","23"]]},"number-of-pages":"52","publisher":"Elsevier BV","title":"Is Monetary Financing Inflationary? A Case Study of the Canadian Economy, 1935-75","type":"report"},"uris":["http://www.mendeley.com/documents/?uuid=804accf2-9032-3758-bcde-f1836393fa91"]}],"mendeley":{"formattedCitation":"(Ryan-Collins, 2015)","plainTextFormattedCitation":"(Ryan-Collins, 2015)","previouslyFormattedCitation":"(Ryan-Collins, 2015)"},"properties":{"noteIndex":0},"schema":"https://github.com/citation-style-language/schema/raw/master/csl-citation.json"}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(Ryan-Collins, 2015)</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The modern monetary theory supports this, as it points out that taxes control demand, not fund spending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{"citationItems":[{"id":"ITEM-1","itemData":{"DOI":"10.4337/EJEEP.2022.0092","ISSN":"2052-7764","abstract":"Drumetz/Pfister (2021) make several claims about the inadequacy and fallacy of modern money theory (MMT) and conclude that MMT is nothing more than a political manifesto; there is no theoretical and empirical foundation beneath it. The present paper addresses this last point by focusing on the fiscal and monetary policy aspects of their criticisms. Contrary to what they claim, MMT is backed by a large body of empirical evidence, a rich institutional analysis, and a well-developed theoretical framework (including mathematical models). MMT provides a detailed analysis of the coordination between the fiscal and monetary branches of government, emphasizes that fiscal deficits are a stylized fact, and uses theoretical tools grounded in institutional realities to explain this stylized fact.","author":[{"dropping-particle":"","family":"Tymoigne","given":"Eric","non-dropping-particle":"","parse-names":false,"suffix":""}],"container-title":"European Journal of Economics and Economic Policies","id":"ITEM-1","issue":"1","issued":{"date-parts":[["2023","5","26"]]},"page":"11-22","publisher":"Edward Elgar Publishing Ltd","title":"Modern money theory on fiscal and monetary policies: empirics, theory, and praxis","type":"article-journal","volume":"20"},"uris":["http://www.mendeley.com/documents/?uuid=263489f7-1abd-3547-9547-0170ac3b33e2"]},{"id":"ITEM-2","itemData":{"DOI":"10.2139/SSRN.115128","abstract":"This paper investigates the commonly held belief that government spending is normally financed through a combination of taxes and bond sales. The argument is a technical one and requires a detailed analysis of reserve accounting at the central bank. After carefully considering the complexities of reserve accounting, it is argued that the proceeds from taxation and bond sales are technically incapable of financing government spending and that modern governments actually finance all of their spending through the direct creation of high-powered money. The analysis carries significant implications for fiscal as well as monetary policy.","author":[{"dropping-particle":"","family":"Bell","given":"Stephanie A.","non-dropping-particle":"","parse-names":false,"suffix":""}],"container-title":"SSRN Electronic Journal","id":"ITEM-2","issued":{"date-parts":[["1988","8","19"]]},"publisher":"Elsevier BV","title":"Can Taxes and Bonds Finance Government Spending?","type":"article-journal"},"uris":["http://www.mendeley.com/documents/?uuid=c317769d-ff11-39ad-b60e-d88542108788"]}],"mendeley":{"formattedCitation":"(Bell, 1988; Tymoigne, 2023)","plainTextFormattedCitation":"(Bell, 1988; Tymoigne, 2023)","previouslyFormattedCitation":"(Bell, 1988; Tymoigne, 2023)"},"properties":{"noteIndex":0},"schema":"https://github.com/citation-style-language/schema/raw/master/csl-citation.json"}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(Bell, 1988; Tymoigne, 2023)</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w:t>
      </w:r>
    </w:p>
    <w:p w14:paraId="0B7E9E02" w14:textId="77777777" w:rsidR="002666B8" w:rsidRPr="002B7782" w:rsidRDefault="002666B8" w:rsidP="001A2E76">
      <w:pPr>
        <w:spacing w:before="240" w:line="240" w:lineRule="auto"/>
        <w:jc w:val="both"/>
        <w:rPr>
          <w:rFonts w:ascii="Times New Roman" w:hAnsi="Times New Roman" w:cs="Times New Roman"/>
          <w:sz w:val="24"/>
          <w:szCs w:val="24"/>
        </w:rPr>
      </w:pPr>
      <w:r w:rsidRPr="002B7782">
        <w:rPr>
          <w:rFonts w:ascii="Times New Roman" w:hAnsi="Times New Roman" w:cs="Times New Roman"/>
          <w:sz w:val="24"/>
          <w:szCs w:val="24"/>
        </w:rPr>
        <w:t xml:space="preserve">A system that recovers seigniorage from banks allows the governments to fund public projects and create an inclusive economy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{"citationItems":[{"id":"ITEM-1","itemData":{"abstract":"This critical literature survey offers a comprehensive understanding of the key aspects and implications of central bank digital currencies (CBDCs) as a rapidly evolving area of academic and policy research. We review in depth the key discussion around motivations for the introduction of CBDCs and their design (looking at options of availability, provision, access, and supporting infrastructure). In addition, we review studies and arguments laid out on the implications that the introduction of CBDC may have for monetary policy and financial stability. Finally, we identify sub-areas of CBDC research that need further investigation in future research.","author":[{"dropping-particle":"","family":"Dionysopoulos","given":"Lambis","non-dropping-particle":"","parse-names":false,"suffix":""},{"dropping-particle":"","family":"Marra","given":"Miriam","non-dropping-particle":"","parse-names":false,"suffix":""},{"dropping-particle":"","family":"Urquhart","given":"Andrew","non-dropping-particle":"","parse-names":false,"suffix":""}],"container-title":"International Review of Financial Analysis","id":"ITEM-1","issued":{"date-parts":[["2023","10","11"]]},"title":"Central bank digital currencies: A critical review","type":"article-journal","volume":"91"},"uris":["http://www.mendeley.com/documents/?uuid=a5623d27-73bc-360f-855c-493f1b6c5d4e"]},{"id":"ITEM-2","itemData":{"author":[{"dropping-particle":"","family":"Macfarlane","given":"Laurie","non-dropping-particle":"","parse-names":false,"suffix":""},{"dropping-particle":"","family":"Ryan-Collins","given":"Josh","non-dropping-particle":"","parse-names":false,"suffix":""},{"dropping-particle":"","family":"Bjerg","given":"Ole","non-dropping-particle":"","parse-names":false,"suffix":""},{"dropping-particle":"","family":"McCann","given":"Rasmus Hougaard Nielsen Duncan","non-dropping-particle":"","parse-names":false,"suffix":""}],"id":"ITEM-2","issued":{"date-parts":[["2017","1","1"]]},"title":"Making Money from Making Money : Seigniorage in the Modern Economy","type":"report"},"uris":["http://www.mendeley.com/documents/?uuid=4aae920d-b084-3e54-b6f7-080aef2f433b"]},{"id":"ITEM-3","itemData":{"abstract":"We raise fundamental questions about macroeconomics relevant to escaping the financial-economic crisis and shifting to a sustainable economy. First, the feasibility of decoupling environmental pressure from aggregate income is considered. Decoupling as a single environmental strategy is found to be very risky. Next, three main arguments for economic growth are examined: growth as progress, growth to avoid economic instability, and growth to offset unemployment due to labor productivity improvements. For each, we offer orthodox, heterodox and new responses. Attention is paid to progress indicators, feedback mechanisms affecting business cycles, and strategies to limit unemployment without the need for growth. Besides offering an economy-wide angle, we discuss the role of housing and mortgage markets in economic cyclicality. Finally, interactions between real economic and financial–monetary spheres are studied. This includes money creation, capital allocation and trade-offs between efficiency and operating costs of financial systems. Throughout, environmental and transition implications are outlined.","author":[{"dropping-particle":"","family":"Antal","given":"Miklós","non-dropping-particle":"","parse-names":false,"suffix":""},{"dropping-particle":"van den","family":"Bergh","given":"Jeroen C.J.M.","non-dropping-particle":"","parse-names":false,"suffix":""}],"container-title":"Environmental Innovation and Societal Transitions","id":"ITEM-3","issued":{"date-parts":[["2013"]]},"page":"47-66","title":"Macroeconomics, financial crisis and the environment: Strategies for a sustainability transition Macroeconomics, financial crisis and the environment: Strategies for a sustainability transition","type":"article-journal","volume":"6"},"uris":["http://www.mendeley.com/documents/?uuid=0af5de9d-bb3f-3124-bfa1-2ea54fa32cb6"]}],"mendeley":{"formattedCitation":"(Antal &amp; Bergh, 2013; Dionysopoulos et al., 2023; Macfarlane et al., 2017)","plainTextFormattedCitation":"(Antal &amp; Bergh, 2013; Dionysopoulos et al., 2023; Macfarlane et al., 2017)","previouslyFormattedCitation":"(Antal &amp; Bergh, 2013; Dionysopoulos et al., 2023; Macfarlane et al., 2017)"},"properties":{"noteIndex":0},"schema":"https://github.com/citation-style-language/schema/raw/master/csl-citation.json"}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(Antal &amp; Bergh, 2013; Dionysopoulos et al., 2023; Macfarlane et al., 2017)</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Central banking digital currencies offer further reinforcement for this architecture through programmable money that enables fiscal and monetary interventions that enable the financial inclusion and stimulus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{"citationItems":[{"id":"ITEM-1","itemData":{"DOI":"10.1016/J.RIBAF.2022.101736","ISSN":"0275-5319","abstract":"Central bank digital currencies are engendering concern. As understanding of CBDCs is very limited, further research is warranted which will focus not only on the economic rationale of CBDCs but also on how they will impact monetary policy transmission, financial and price stability, inflation targeting, unconventional monetary instruments, central banks as lenders of last resort, and provision of forward guidance. There are also unsettled questions regarding ethics, privacy and environmental and technological constraints. With the imminent implementation of CBDCs, it is vital to explore these issues.","author":[{"dropping-particle":"","family":"Elsayed","given":"Ahmed H.","non-dropping-particle":"","parse-names":false,"suffix":""},{"dropping-particle":"","family":"Nasir","given":"Muhammad Ali","non-dropping-particle":"","parse-names":false,"suffix":""}],"container-title":"Research in International Business and Finance","id":"ITEM-1","issued":{"date-parts":[["2022","12","1"]]},"page":"101736","publisher":"Elsevier","title":"Central bank digital currencies: An agenda for future research","type":"article-journal","volume":"62"},"uris":["http://www.mendeley.com/documents/?uuid=2e71b081-b4fe-3d0e-b026-dbee10fb060d"]},{"id":"ITEM-2","itemData":{"abstract":"We study the effectiveness of helicopter money, once a thought experiment that is now a feasible option given new digital technologies. We consider the effects of central bank digital currencies (CBDC) from a theoretical point of view, by means of a stock-flow consistent model of a growing open economy. We compare the effectiveness of this tool with that of traditional fiscal and monetary policies. We find that issuing a CBDC by expanding the central bank's balance sheet can have a durable impact on GDP and crucially, it allows for the activation of a new transmission channel, which depends on the sensitivity of investment and of the interest rate to firms' leverage. But it might reduce the demand for bank deposits, and even more crucially for bank loans, thus creating challenges for financial stability.","author":[{"dropping-particle":"","family":"Temperini","given":"Jacopo","non-dropping-particle":"","parse-names":false,"suffix":""},{"dropping-particle":"","family":"D’Ippoliti","given":"Carlo","non-dropping-particle":"","parse-names":false,"suffix":""},{"dropping-particle":"","family":"Gobbi","given":"Lucio","non-dropping-particle":"","parse-names":false,"suffix":""}],"container-title":"Structural Change and Economic Dynamics","id":"ITEM-2","issued":{"date-parts":[["2023","11","18"]]},"page":"24-36","title":"Is the time ripe for helicopter money? Growth impact and financial stability risks of outright monetary transfers","type":"article-journal","volume":"69"},"uris":["http://www.mendeley.com/documents/?uuid=26d41609-310a-381b-974b-013da01389a2"]},{"id":"ITEM-3","itemData":{"abstract":"This paper provides a structured overview of the burgeoning literature on the economics of CBDC. We document the economic forces that shape the rise of digital money and review motives for the issuance of CBDC. We then study the implications for the financial system and discuss of a number of policy issues and challenges. While the academic literature broadly echoes policy makers' concerns about bank disintermediation and financial stability risks, it also provides conditions under which such adverse effects may not materialize. We also point to several knowledge gaps that merit further work, including data privacy and the study of end‐user preferences for attributes of digital payment methods.","author":[{"dropping-particle":"","family":"Ahnert","given":"Toni","non-dropping-particle":"","parse-names":false,"suffix":""},{"dropping-particle":"","family":"Assenmacher","given":"Katrin","non-dropping-particle":"","parse-names":false,"suffix":""},{"dropping-particle":"","family":"Hoffmann","given":"Peter","non-dropping-particle":"","parse-names":false,"suffix":""},{"dropping-particle":"","family":"Leonello","given":"Agnese","non-dropping-particle":"","parse-names":false,"suffix":""},{"dropping-particle":"","family":"Monnet","given":"Cyril","non-dropping-particle":"","parse-names":false,"suffix":""},{"dropping-particle":"","family":"Porcellacchia","given":"Davide","non-dropping-particle":"","parse-names":false,"suffix":""}],"container-title":"SSRN Electronic Journal","id":"ITEM-3","issued":{"date-parts":[["2023","1","1"]]},"title":"The Economics of Central Bank Digital Currency","type":"report"},"uris":["http://www.mendeley.com/documents/?uuid=00a4695a-ea97-301c-b550-80b1f9ac72b3"]}],"mendeley":{"formattedCitation":"(Ahnert et al., 2023; Elsayed &amp; Nasir, 2022; Temperini et al., 2023)","plainTextFormattedCitation":"(Ahnert et al., 2023; Elsayed &amp; Nasir, 2022; Temperini et al., 2023)","previouslyFormattedCitation":"(Ahnert et al., 2023; Elsayed &amp; Nasir, 2022; Temperini et al., 2023)"},"properties":{"noteIndex":0},"schema":"https://github.com/citation-style-language/schema/raw/master/csl-citation.json"}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(Ahnert et al., 2023; Elsayed &amp; Nasir, 2022; Temperini et al., 2023)</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w:t>
      </w:r>
    </w:p>
    <w:p w14:paraId="13806DFF" w14:textId="59D31179" w:rsidR="002666B8" w:rsidRPr="002B7782" w:rsidRDefault="002666B8" w:rsidP="001A2E76">
      <w:pPr>
        <w:spacing w:before="240" w:line="240" w:lineRule="auto"/>
        <w:jc w:val="both"/>
        <w:rPr>
          <w:rFonts w:ascii="Times New Roman" w:hAnsi="Times New Roman" w:cs="Times New Roman"/>
          <w:sz w:val="24"/>
          <w:szCs w:val="24"/>
        </w:rPr>
      </w:pPr>
      <w:r w:rsidRPr="002B7782">
        <w:rPr>
          <w:rFonts w:ascii="Times New Roman" w:hAnsi="Times New Roman" w:cs="Times New Roman"/>
          <w:sz w:val="24"/>
          <w:szCs w:val="24"/>
        </w:rPr>
        <w:t xml:space="preserve">This article examines whether full reserve, interest-free monetary system can eliminate Pakistan's debt and deficit, </w:t>
      </w:r>
      <w:r w:rsidR="002B7782" w:rsidRPr="002B7782">
        <w:rPr>
          <w:rFonts w:ascii="Times New Roman" w:hAnsi="Times New Roman" w:cs="Times New Roman"/>
          <w:sz w:val="24"/>
          <w:szCs w:val="24"/>
        </w:rPr>
        <w:t>stabilize</w:t>
      </w:r>
      <w:r w:rsidRPr="002B7782">
        <w:rPr>
          <w:rFonts w:ascii="Times New Roman" w:hAnsi="Times New Roman" w:cs="Times New Roman"/>
          <w:sz w:val="24"/>
          <w:szCs w:val="24"/>
        </w:rPr>
        <w:t xml:space="preserve"> inflation and contribute to sustainable economic growth and thereby provide an evidence-based road map to economic reform and public welfare.</w:t>
      </w:r>
    </w:p>
    <w:p w14:paraId="41089D1D" w14:textId="77777777" w:rsidR="002666B8" w:rsidRPr="002B7782" w:rsidRDefault="002666B8" w:rsidP="001A2E76">
      <w:pPr>
        <w:spacing w:before="240" w:line="240" w:lineRule="auto"/>
        <w:jc w:val="both"/>
        <w:rPr>
          <w:rFonts w:ascii="Times New Roman" w:hAnsi="Times New Roman" w:cs="Times New Roman"/>
          <w:b/>
          <w:bCs/>
          <w:sz w:val="24"/>
          <w:szCs w:val="24"/>
        </w:rPr>
      </w:pPr>
      <w:r w:rsidRPr="002B7782">
        <w:rPr>
          <w:rFonts w:ascii="Times New Roman" w:hAnsi="Times New Roman" w:cs="Times New Roman"/>
          <w:b/>
          <w:bCs/>
          <w:sz w:val="24"/>
          <w:szCs w:val="24"/>
        </w:rPr>
        <w:t>2. Literature Review</w:t>
      </w:r>
    </w:p>
    <w:p w14:paraId="02803456" w14:textId="77777777" w:rsidR="002666B8" w:rsidRPr="002B7782" w:rsidRDefault="002666B8" w:rsidP="001A2E76">
      <w:pPr>
        <w:spacing w:before="240" w:line="240" w:lineRule="auto"/>
        <w:jc w:val="both"/>
        <w:rPr>
          <w:rFonts w:ascii="Times New Roman" w:hAnsi="Times New Roman" w:cs="Times New Roman"/>
          <w:sz w:val="24"/>
          <w:szCs w:val="24"/>
        </w:rPr>
      </w:pPr>
      <w:r w:rsidRPr="002B7782">
        <w:rPr>
          <w:rFonts w:ascii="Times New Roman" w:hAnsi="Times New Roman" w:cs="Times New Roman"/>
          <w:sz w:val="24"/>
          <w:szCs w:val="24"/>
        </w:rPr>
        <w:t xml:space="preserve">Fractional reserve banking allows commercial banks to generate money by lending, which often leads to economic instability, inflation and wealth concentration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{"citationItems":[{"id":"ITEM-1","itemData":{"DOI":"10.2139/SSRN.2071164","abstract":"This paper conceptualises the process, existence and the implications of fractional reserve banking in our present banking system (both conventional and Islamic). It then reasons the conformity of our contemporary Islamic banking, finance and investment institutions towards achieving the objectives of Islamic law (maqasid al-shariah) operating under the FRB framework. The paper uses conceptual and logical deductions from Qur’an and its teachings to show how fractional reserve banking violates the objectives of Islamic law (maqasid al-shariah), therefore it is impermissible in Islamic perspective. The paper also discusses some scholars’ view in support of the system. A measurement tool which is based on the objectives of Islamic law (maqasid al-shariah) parameters will be eventually used to measure empirically the implication of such system (Fractional ReserveBanking) to the society.   The paper concludes with the believe and hope that Islamic banking, finance and investment institutions should avoid the system and operate under a monetary system acceptable in Islam that will help attain the objectives of Islamic law (maqasid al-shariah).","author":[{"dropping-particle":"","family":"Dangulbi","given":"Sani M.","non-dropping-particle":"","parse-names":false,"suffix":""},{"dropping-particle":"","family":"Salleh","given":"Arfah","non-dropping-particle":"","parse-names":false,"suffix":""},{"dropping-particle":"","family":"Meera","given":"Ahamed Kameel","non-dropping-particle":"","parse-names":false,"suffix":""},{"dropping-particle":"","family":"Aziuddin","given":"A.","non-dropping-particle":"","parse-names":false,"suffix":""}],"container-title":"SSRN Electronic Journal","id":"ITEM-1","issued":{"date-parts":[["2012","5","31"]]},"publisher":"Elsevier BV","title":"Fractional Reserve Banking and Maqasid Al-Shariah: An Incompatible Practice?","type":"article-journal"},"uris":["http://www.mendeley.com/documents/?uuid=d098827c-b7cd-3aa7-8eeb-489ce73015b4"]},{"id":"ITEM-2","itemData":{"DOI":"10.2139/SSRN.2679090","abstract":"Historically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Journal","id":"ITEM-2","issued":{"date-parts":[["2015","10","23"]]},"number-of-pages":"52","publisher":"Elsevier BV","title":"Is Monetary Financing Inflationary? A Case Study of the Canadian Economy, 1935-75","type":"report"},"uris":["http://www.mendeley.com/documents/?uuid=804accf2-9032-3758-bcde-f1836393fa91"]},{"id":"ITEM-3","itemData":{"DOI":"10.3390/SU5062802","ISSN":"2071-1050","abstract":"Current macroeconomic policy promotes continuous economic growth. Unemployment, poverty and debt are associated with insufficient growth. Economic activity depends upon the transformation of natural materials, ultimately returning to the environment as waste. Current levels of economic throughput exceed the planet’s carrying capacity. As a result of poorly constructed economic institutions, society faces the unacceptable choice between ecological catastrophe and human misery. A transition to a steady-state economy is required, characterized by a rate of throughput compatible with planetary boundaries. This paper contributes to the development of a steady-state economy by addressing US monetary and fiscal policies. A steady-state monetary policy would support counter-cyclical, debt-free vertical money creation through the public sector, in ways that contribute to sustainable well-being. The implication for a steady-state fiscal policy is that any lending or spending requires a careful balance of recovery of money, not as a means of revenue, but as an economic imperative to meet monetary policy goals.  A steady-state fiscal policy would prioritize targeted public goods investments, taxation of ecological “bads” and economic rent and implementation of progressive tax structures. Institutional innovations are considered, including common asset trusts, to regulate throughput, and a public monetary trust, to strictly regulate money supply.","author":[{"dropping-particle":"","family":"Farley","given":"Joshua","non-dropping-particle":"","parse-names":false,"suffix":""},{"dropping-particle":"","family":"Burke","given":"Matthew","non-dropping-particle":"","parse-names":false,"suffix":""},{"dropping-particle":"","family":"Flomenhoft","given":"Gary","non-dropping-particle":"","parse-names":false,"suffix":""},{"dropping-particle":"","family":"Kelly","given":"Brian","non-dropping-particle":"","parse-names":false,"suffix":""},{"dropping-particle":"","family":"Forrest Murray","given":"D.","non-dropping-particle":"","parse-names":false,"suffix":""},{"dropping-particle":"","family":"Posner","given":"Stephen","non-dropping-particle":"","parse-names":false,"suffix":""},{"dropping-particle":"","family":"Putnam","given":"Matthew","non-dropping-particle":"","parse-names":false,"suffix":""},{"dropping-particle":"","family":"Scanlan","given":"Adam","non-dropping-particle":"","parse-names":false,"suffix":""},{"dropping-particle":"","family":"Witham","given":"Aaron","non-dropping-particle":"","parse-names":false,"suffix":""}],"container-title":"Sustainability 2013, Vol. 5, Pages 2802-2826","id":"ITEM-3","issue":"6","issued":{"date-parts":[["2013","6","20"]]},"page":"2802-2826","publisher":"Multidisciplinary Digital Publishing Institute","title":"Monetary and Fiscal Policies for a Finite Planet","type":"article-journal","volume":"5"},"uris":["http://www.mendeley.com/documents/?uuid=29aa5c67-c7be-3f9e-aae8-5771241bcaf8"]}],"mendeley":{"formattedCitation":"(Dangulbi et al., 2012; Farley et al., 2013; Ryan-Collins, 2015)","plainTextFormattedCitation":"(Dangulbi et al., 2012; Farley et al., 2013; Ryan-Collins, 2015)","previouslyFormattedCitation":"(Dangulbi et al., 2012; Farley et al., 2013; Ryan-Collins, 2015)"},"properties":{"noteIndex":0},"schema":"https://github.com/citation-style-language/schema/raw/master/csl-citation.json"}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(Dangulbi et al., 2012; Farley et al., 2013; Ryan-Collins, 2015)</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This debt-based money creation directly adds to government deficits and national debt because the government spends money based on an interest-based borrowing instead of money creation that is productive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10.2139/SSRN.4890683","author":[{"dropping-particle":"","family":"Berkeley","given":"Andrew","non-dropping-particle":"","parse-names":false,"suffix":""},{"dropping-particle":"","family":"Ryan-Collins","given":"Josh","non-dropping-particle":"","parse-names":false,"suffix":""},{"dropping-particle":"","family":"Ruge","given":"Asker Voldsgaard","non-dropping-particle":"","parse-names":false,"suffix":""},{"dropping-particle":"","family":"Tye","given":"Richard","non-dropping-particle":"","parse-names":false,"suffix":""},{"dropping-particle":"","family":"Wilson","given":"Neil","non-dropping-particle":"","parse-names":false,"suffix":""}],"container-title":"SSRN Electronic Journal","id":"ITEM-1","issued":{"date-parts":[["2024","1","26"]]},"publisher":"Elsevier BV","title":"The self-financing state: an institutional analysis of government expenditure, revenue collection and debt issuance operations in the United Kingdom","type":"article-journal"},"uris":["http://www.mendeley.com/documents/?uuid=db306c09-685b-3c83-bea4-5796869264e3"]},{"id":"ITEM-2","itemData":{"DOI":"10.2139/SSRN.3348465","abstract":"It is widely known that in a fiat currency system, governments can create money tokens to meet public expenditure, then take some of them back through taxation or bond issue to adjust the money supply to a desired level. Yet the treasury departments in most countries strive to formulate fiscal policies in an attempt to match taxation with public expenditure while, at the same time, the central banks use monetary policy instruments for regulating money supply. The key question addressed in this research is whether the policies of the treasury departments and central banks are relevant to the functioning of the present-day economies where fiat currency is supposed to facilitate transactions rather than being a commodity. A parsimonious model of the macroeconomic system subsuming also the fiscal and monetary interventions is presented. The model is then used to understand the relevance of taxation to fiat money and to explore alternative policy levers for funding public expenditure and regulating money supply while delinking expenditure from taxation. It is proposed thatÂ the public spending can be entirely funded through deficits, while taxation together with open market operations is used as inflation control instruments. Control mechanisms for driving taxation and open market operations are explored.","author":[{"dropping-particle":"","family":"Saeed","given":"Khalid","non-dropping-particle":"","parse-names":false,"suffix":""}],"container-title":"SSRN Electronic Journal","id":"ITEM-2","issued":{"date-parts":[["2019","3","4"]]},"publisher":"Elsevier BV","title":"Unlinking Public Finance and Taxation in a Fiat Currency System","type":"article-journal"},"uris":["http://www.mendeley.com/documents/?uuid=4d3460c4-fd4c-3148-9e8f-ea304a4262f7"]}],"mendeley":{"formattedCitation":"(Berkeley et al., 2024; Saeed, 2019)","plainTextFormattedCitation":"(Berkeley et al., 2024; Saeed, 2019)","previouslyFormattedCitation":"(Berkeley et al., 2024; Saeed, 2019)"},"properties":{"noteIndex":0},"schema":"https://github.com/citation-style-language/schema/raw/master/csl-citation.json"}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(Berkeley et al., 2024; Saeed, 2019)</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Alternative systems that separate money creation from private banks might be more in line with financial flows and real economic activity and social welfare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{"citationItems":[{"id":"ITEM-1","itemData":{"DOI":"10.2139/SSRN.2820597","abstract":"This study analyzes the effect of a money-financed policy for fiscal reform. We introduce a realistic setting in which real output is not given by an exogenous variable, but is determined by effective demand in a monetary growth model. Using this model, we compare the effects of the money-financed policy for fiscal reform with the effects of various policies to prevent increasing fiscal deficit. We conclude that the money-financed policy is the most desirable from the viewpoint of curbing the fiscal deficit and raising gross domestic product.","author":[{"dropping-particle":"","family":"Aoki","given":"Masaru","non-dropping-particle":"","parse-names":false,"suffix":""}],"container-title":"SSRN Electronic Journal","id":"ITEM-1","issued":{"date-parts":[["2016","8","9"]]},"publisher":"Elsevier BV","title":"The Effect of Money-Financed Policy for Fiscal Reform","type":"article-journal"},"uris":["http://www.mendeley.com/documents/?uuid=8db828dc-fa45-30e4-8b3e-98e8fe1c7b5a"]},{"id":"ITEM-2","itemData":{"DOI":"10.1111/MECA.12325;JOURNAL:JOURNAL:1467999X;WGROUP:STRING:PUBLICATION","ISSN":"1467999X","abstract":"Sraffian supermultiplier models, as well as Kaleckian distribution and growth models that make use of non-capacity creating autonomous demand growth to cope with Harrodian instability, have paid little attention to the financial side of autonomous demand growth as the driver of the system. Therefore, we link the issue of Harrodian instability in Kaleckian models driven by non-capacity creating autonomous demand growth with the associated financial dynamics. For a simple model with autonomous government expenditure growth, zero interest rates and no consumption out of wealth, we find that adding debt dynamics does not change the results obtained by Skott (2017) based on Lavoie's (2016) model without debt, each published in this journal. Hence, in this simple model, the long-run equilibrium is stable if Harrodian instability is not too strong and the autonomous growth rate does not exceed a maximum given by the long-run equilibrium saving rate. Introducing interest payments on government debt as well as consumption out of wealth into the model, however, changes the stability requirements: First, the autonomous growth rate of government expenditures should not fall short of the exogenous monetary interest rate. Second, this growth rate should not exceed a maximum given by the saving rate in the long-run equilibrium net of the propensity to consume out of wealth. Third, Harrodian instability may be almost as strong as in the simple model without violating long-run overall stability, particularly if the propensity to consume out of wealth is low. We claim that irrespective of the relevance or irrelevance of Harrodian instability, it is necessary to introduce financial variables into models driven by non-capacity creating autonomous demand in order to assess the long-run (in-)stability and sustainability of growth.","author":[{"dropping-particle":"","family":"Hein","given":"Eckhard","non-dropping-particle":"","parse-names":false,"suffix":""},{"dropping-particle":"","family":"Woodgate","given":"Ryan","non-dropping-particle":"","parse-names":false,"suffix":""}],"container-title":"Metroeconomica","id":"ITEM-2","issue":"2","issued":{"date-parts":[["2020","5","1"]]},"page":"388-404","publisher":"John Wiley and Sons Inc","title":"Stability issues in Kaleckian models driven by autonomous demand growth—Harrodian instability and debt dynamics","type":"article-journal","volume":"72"},"uris":["http://www.mendeley.com/documents/?uuid=a7f71dfd-ebef-3162-b4fa-9d250c0d1692"]}],"mendeley":{"formattedCitation":"(Aoki, 2016; Hein &amp; Woodgate, 2020)","plainTextFormattedCitation":"(Aoki, 2016; Hein &amp; Woodgate, 2020)","previouslyFormattedCitation":"(Aoki, 2016; Hein &amp; Woodgate, 2020)"},"properties":{"noteIndex":0},"schema":"https://github.com/citation-style-language/schema/raw/master/csl-citation.json"}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(Aoki, 2016; Hein &amp; Woodgate, 2020)</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w:t>
      </w:r>
    </w:p>
    <w:p w14:paraId="0B646FB5" w14:textId="77777777" w:rsidR="002666B8" w:rsidRPr="002B7782" w:rsidRDefault="002666B8" w:rsidP="001A2E76">
      <w:pPr>
        <w:spacing w:before="240" w:line="240" w:lineRule="auto"/>
        <w:jc w:val="both"/>
        <w:rPr>
          <w:rFonts w:ascii="Times New Roman" w:hAnsi="Times New Roman" w:cs="Times New Roman"/>
          <w:sz w:val="24"/>
          <w:szCs w:val="24"/>
          <w:highlight w:val="yellow"/>
        </w:rPr>
      </w:pPr>
      <w:r w:rsidRPr="002B7782">
        <w:rPr>
          <w:rFonts w:ascii="Times New Roman" w:hAnsi="Times New Roman" w:cs="Times New Roman"/>
          <w:sz w:val="24"/>
          <w:szCs w:val="24"/>
        </w:rPr>
        <w:t xml:space="preserve">The Chicago Plan (1933) recommended full-reserve banking (banks had to maintain 100% reserves against deposits), returning money-supply to the state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Journal","id":"ITEM-1","issued":{"date-parts":[["2015","10","23"]]},"number-of-pages":"52","publisher":"Elsevier BV","title":"Is Monetary Financing Inflationary? A Case Study of the Canadian Economy, 1935-75","type":"report"},"uris":["http://www.mendeley.com/documents/?uuid=804accf2-9032-3758-bcde-f1836393fa91"]}],"mendeley":{"formattedCitation":"(Ryan-Collins, 2015)","plainTextFormattedCitation":"(Ryan-Collins, 2015)","previouslyFormattedCitation":"(Ryan-Collins, 2015)"},"properties":{"noteIndex":0},"schema":"https://github.com/citation-style-language/schema/raw/master/csl-citation.json"}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(Ryan-Collins, 2015)</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Modern Monetary Theory (MMT) similarly contends that sovereign governments can finance spending through currency creation with no limits to that end, by inflation (i.e., there is no need to collect taxes or sell government bonds to finance the government), challenging the notion that taxation and bond sales are necessary to fund government spending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{"citationItems":[{"id":"ITEM-1","itemData":{"abstract":"This evolutionary paper traces the interaction of monetary and fiscal policy, assuming lag reserve accounting in a fiat monetary system. It illustrates: Sovereign debt functions as interest rate support. Taxes function to create a demand for federal spending. The myth of the money multiplier. Taxed advantaged savings plans create a need for deficit spending. Exports are the cost of imports.","author":[{"dropping-particle":"","family":"Mosler","given":"Warren","non-dropping-particle":"","parse-names":false,"suffix":""}],"container-title":"Macroeconomics","id":"ITEM-1","issued":{"date-parts":[["1995","2","14"]]},"publisher":"University Library of Munich, Germany","title":"Soft Currency Economics","type":"article-journal"},"uris":["http://www.mendeley.com/documents/?uuid=716ef0c5-6e32-396b-80d9-f1b95cc8b13b"]},{"id":"ITEM-2","itemData":{"DOI":"10.2139/SSRN.115128","abstract":"This paper investigates the commonly held belief that government spending is normally financed through a combination of taxes and bond sales. The argument is a technical one and requires a detailed analysis of reserve accounting at the central bank. After carefully considering the complexities of reserve accounting, it is argued that the proceeds from taxation and bond sales are technically incapable of financing government spending and that modern governments actually finance all of their spending through the direct creation of high-powered money. The analysis carries significant implications for fiscal as well as monetary policy.","author":[{"dropping-particle":"","family":"Bell","given":"Stephanie A.","non-dropping-particle":"","parse-names":false,"suffix":""}],"container-title":"SSRN Electronic Journal","id":"ITEM-2","issued":{"date-parts":[["1988","8","19"]]},"publisher":"Elsevier BV","title":"Can Taxes and Bonds Finance Government Spending?","type":"article-journal"},"uris":["http://www.mendeley.com/documents/?uuid=c317769d-ff11-39ad-b60e-d88542108788"]},{"id":"ITEM-3","itemData":{"DOI":"10.4337/EJEEP.2022.0092","ISSN":"2052-7764","abstract":"Drumetz/Pfister (2021) make several claims about the inadequacy and fallacy of modern money theory (MMT) and conclude that MMT is nothing more than a political manifesto; there is no theoretical and empirical foundation beneath it. The present paper addresses this last point by focusing on the fiscal and monetary policy aspects of their criticisms. Contrary to what they claim, MMT is backed by a large body of empirical evidence, a rich institutional analysis, and a well-developed theoretical framework (including mathematical models). MMT provides a detailed analysis of the coordination between the fiscal and monetary branches of government, emphasizes that fiscal deficits are a stylized fact, and uses theoretical tools grounded in institutional realities to explain this stylized fact.","author":[{"dropping-particle":"","family":"Tymoigne","given":"Eric","non-dropping-particle":"","parse-names":false,"suffix":""}],"container-title":"European Journal of Economics and Economic Policies","id":"ITEM-3","issue":"1","issued":{"date-parts":[["2023","5","26"]]},"page":"11-22","publisher":"Edward Elgar Publishing Ltd","title":"Modern money theory on fiscal and monetary policies: empirics, theory, and praxis","type":"article-journal","volume":"20"},"uris":["http://www.mendeley.com/documents/?uuid=263489f7-1abd-3547-9547-0170ac3b33e2"]},{"id":"ITEM-4","itemData":{"URL":"https://papers.ssrn.com/sol3/papers.cfm?abstract_id=3465629","abstract":"The recent wave of recommendations of unlimited credit creation to finance government expenditures to achieve economic growth and prosperity seems to be grounded in misunderstanding Keynes’s countercyclical fiscal policy. Keynes’s deficit spending denotes the stimulus geared towards increasing private investment as opposed to big government spending. Taking Japan as a case study, I showcase that deficit financing meeting Keynesian preconditions, including a sound monetary system, well-developed financial markets, and lower/zero interest rate, may not lead to raising growth and lowering public debts as the proponents predict. I maintain that unlimited credit expansion to the public sector in consumption-based economies, which is the general case for developing countries, is most likely to generate inflation while leaving the economy’s productivity unchanged.","accessed":{"date-parts":[["2025","11","14"]]},"author":[{"dropping-particle":"","family":"Javed","given":"Sajid Amin","non-dropping-particle":"","parse-names":false,"suffix":""}],"id":"ITEM-4","issued":{"date-parts":[["2019","1","1"]]},"title":"Limitless Deficit Financing for Economic Prosperity: Where They Got the Keynes’s Deficit Spending Wrong? by Sajid Amin Javed :: SSRN","type":"webpage"},"uris":["http://www.mendeley.com/documents/?uuid=9581fca3-5edc-3c49-911a-db8ca9bece95"]}],"mendeley":{"formattedCitation":"(Bell, 1988; Javed, 2019; Mosler, 1995; Tymoigne, 2023)","plainTextFormattedCitation":"(Bell, 1988; Javed, 2019; Mosler, 1995; Tymoigne, 2023)","previouslyFormattedCitation":"(Bell, 1988; Javed, 2019; Mosler, 1995; Tymoigne, 2023)"},"properties":{"noteIndex":0},"schema":"https://github.com/citation-style-language/schema/raw/master/csl-citation.json"}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(Bell, 1988; Javed, 2019; Mosler, 1995; Tymoigne, 2023)</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In this view, deficits reflect a natural fiscal operation and not anomalies, with taxation playing an important role in regulating demand and value of currency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{"citationItems":[{"id":"ITEM-1","itemData":{"DOI":"DOI:10.4197/Islec.32-1.4","URL":"https://papers.ssrn.com/sol3/papers.cfm?abstract_id=3465613","accessed":{"date-parts":[["2025","11","14"]]},"author":[{"dropping-particle":"","family":"Ann Pettifor","given":"","non-dropping-particle":"","parse-names":false,"suffix":""}],"id":"ITEM-1","issued":{"date-parts":[["2019"]]},"page":"67-78","title":"‘Deficit Financing’ or ‘Deficit-Reduction Financing?’ Debates in Contemporary Economics: Origins, Confusions and Clarity","type":"webpage"},"uris":["http://www.mendeley.com/documents/?uuid=1bb11316-1846-30e3-b8f7-69d9441c5c42"]},{"id":"ITEM-2","itemData":{"DOI":"10.1186/S13731-024-00394-4","ISSN":"2192-5372","abstract":"This study aims to examine the budget deficit–inflation relationship, considering financial sector development and broad money supply as moderating and mediating variables. For this purpose, a panel data set ranging from polled mean group, mean group, and dynamic fixed effect estimation techniques are employed. Hence, the pooled mean group estimation result reveals that the budget deficit is inflationary. In addition, GDP per capita, the effective exchange rate, financial sector development, regulatory quality, and the interaction term of the budget deficit and financial sector development are significant determinants of inflation. The study further examines the role of the broad money supply as a mediating variable in the budget deficit–inflation relationship. The structural equation model results and the mediation effect tests confirmed a partial mediation effect of the broad money supply on the budget deficit–inflation relationship. Based on the findings, it is recommended to strengthen regulatory quality, reduce broad money supply, and improve financial sector development. By doing so, we can create a more stable and efficient economy that benefits everyone in the long run.","author":[{"dropping-particle":"","family":"Aragaw","given":"Abebe","non-dropping-particle":"","parse-names":false,"suffix":""}],"container-title":"Journal of Innovation and Entrepreneurship 2024 13:1","id":"ITEM-2","issue":"1","issued":{"date-parts":[["2024","6","6"]]},"page":"35-","publisher":"SpringerOpen","title":"The inflationary effect of the budget deficit: does financial sector development matter?","type":"article-journal","volume":"13"},"uris":["http://www.mendeley.com/documents/?uuid=940282e4-a1d2-3d16-b061-1b8d32425d21"]}],"mendeley":{"formattedCitation":"(Ann Pettifor, 2019; Aragaw, 2024)","plainTextFormattedCitation":"(Ann Pettifor, 2019; Aragaw, 2024)","previouslyFormattedCitation":"(Ann Pettifor, 2019; Aragaw, 2024)"},"properties":{"noteIndex":0},"schema":"https://github.com/citation-style-language/schema/raw/master/csl-citation.json"}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(Ann Pettifor, 2019; Aragaw, 2024)</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w:t>
      </w:r>
    </w:p>
    <w:p w14:paraId="271E2988" w14:textId="77777777" w:rsidR="002666B8" w:rsidRPr="002B7782" w:rsidRDefault="002666B8" w:rsidP="001A2E76">
      <w:pPr>
        <w:spacing w:before="240" w:line="240" w:lineRule="auto"/>
        <w:jc w:val="both"/>
        <w:rPr>
          <w:rFonts w:ascii="Times New Roman" w:hAnsi="Times New Roman" w:cs="Times New Roman"/>
          <w:sz w:val="24"/>
          <w:szCs w:val="24"/>
        </w:rPr>
      </w:pPr>
      <w:r w:rsidRPr="002B7782">
        <w:rPr>
          <w:rFonts w:ascii="Times New Roman" w:hAnsi="Times New Roman" w:cs="Times New Roman"/>
          <w:sz w:val="24"/>
          <w:szCs w:val="24"/>
        </w:rPr>
        <w:lastRenderedPageBreak/>
        <w:t xml:space="preserve">Empirical evidence based on the economic policy implemented in Canada between 1935 and 1975 shows that spending financed by the monetary sector that was carefully adjusted to economic expansion did not cause runaway inflation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{"citationItems":[{"id":"ITEM-1","itemData":{"abstract":"Climate change poses new challenges to central banks, regulators and supervisors.This book reviews ways of addressing these new risks within central banks' financial stability mandate.However, integrating climate-related risk analysis into financial stability monitoring is particularly challenging because of the radical uncertainty associated with a physical, social and economic phenomenon that is constantly changing and involves complex dynamics and chain reactions.Traditional backward-looking risk assessments and existing climate-economic models cannot anticipate accurately enough the form that climate-related risks will take.These include what we call \"green swan\" risks: potentially extremely financially disruptive events that could be behind the next systemic financial crisis.Central banks have a role to play in avoiding such an outcome, including by seeking to improve their understanding of climaterelated risks through the development of forward-looking scenario-based analysis.But central banks alone cannot mitigate climate change.This complex collective action problem requires coordinating actions among many players including governments, the private sector, civil society and the international community.Central banks can therefore have an additional role to play in helping coordinate the measures to fight climate change.Those include climate mitigation policies such as carbon pricing, the integration of sustainability into financial practices and accounting frameworks, the search for appropriate policy mixes, and the development of new financial mechanisms at the international level.All these actions will be complex to coordinate and could have significant redistributive consequences that should be adequately handled, yet they are essential to preserve long-term financial (and price) stability in the age of climate change.Scientific knowledge is as much an understanding of the diversity of situations for which a theory or its models are relevant as an understanding of its limits.","author":[{"dropping-particle":"","family":"Riazanova","given":"Nadiia","non-dropping-particle":"","parse-names":false,"suffix":""}],"container-title":"Fìnansi Ukraïni","id":"ITEM-1","issue":"11","issued":{"date-parts":[["2023"]]},"page":"86-98","title":"European vector of the sustainable development – the guideline for corporate and public finance in Ukraine","type":"article-journal"},"uris":["http://www.mendeley.com/documents/?uuid=8de68dc8-5472-35d4-9556-fe402bfe2625"]},{"id":"ITEM-2","itemData":{"DOI":"10.2139/SSRN.2679090","abstract":"Historically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Journal","id":"ITEM-2","issued":{"date-parts":[["2015","10","23"]]},"number-of-pages":"52","publisher":"Elsevier BV","title":"Is Monetary Financing Inflationary? A Case Study of the Canadian Economy, 1935-75","type":"report"},"uris":["http://www.mendeley.com/documents/?uuid=804accf2-9032-3758-bcde-f1836393fa91"]}],"mendeley":{"formattedCitation":"(Riazanova, 2023; Ryan-Collins, 2015)","plainTextFormattedCitation":"(Riazanova, 2023; Ryan-Collins, 2015)","previouslyFormattedCitation":"(Riazanova, 2023; Ryan-Collins, 2015)"},"properties":{"noteIndex":0},"schema":"https://github.com/citation-style-language/schema/raw/master/csl-citation.json"}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(Riazanova, 2023; Ryan-Collins, 2015)</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Nevertheless, there is a risk that excessive reliance on monetary financing will create a kind of "fiscal dominance" and undermine the independence of central banks, increasing volatility in asset prices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{"citationItems":[{"id":"ITEM-1","itemData":{"DOI":"10.1007/S10272-021-1014-5","ISBN":"1027202110145","ISSN":"1613-964X","abstract":"In the last few years, the so-called Modern Monetary Theory (MMT) has been gaining prominence in the media and the public. This article presents the MMT approach to money and monetary policy, and discusses its recommendations regarding fiscal policy and aggregate demand management, the structural policies it advocates as well as the international aspects of MMT. Overall, it appears that MMT is based on an outdated state of economic science and that its claims regarding economic policies are much exaggerated: The meaning of MMT is more that of a political manifesto than of a genuine economic theory.","author":[{"dropping-particle":"","family":"Drumetz","given":"Françoise","non-dropping-particle":"","parse-names":false,"suffix":""},{"dropping-particle":"","family":"Pfister","given":"Christian","non-dropping-particle":"","parse-names":false,"suffix":""}],"container-title":"Intereconomics 2021 56:6","id":"ITEM-1","issue":"6","issued":{"date-parts":[["2021","12","11"]]},"page":"355-361","publisher":"Springer","title":"Modern Monetary Theory: A Wrong Compass for Decision-Making","type":"article-journal","volume":"56"},"uris":["http://www.mendeley.com/documents/?uuid=bc75937b-33fd-3788-b16f-cf211a47191b"]},{"id":"ITEM-2","itemData":{"DOI":"10.3390/JRFM17080355","ISSN":"1911-8074","abstract":"The COVID-19 pandemic, the Russia–Ukraine and the Israel–Hamas conflicts, and the resulting global economic shocks will affect the world economy for several years. This paper analyzes and discusses monetary finance (MF) using the Quantity Theory of Money (QTM) to understand economic dynamics. To achieve this goal, we utilize a Structural Vector Autoregressive (SVAR) identification scheme with sign restrictions on datasets from advanced economies. The findings indicate that monetary growth plays a role in short-term inflationary dynamics, while its effects are less significant in the medium to long term. The aim of the paper is to contribute to ongoing debate surrounding the potential strategies for addressing the economic downturn through the reintroduction of monetary finance (MF).","author":[{"dropping-particle":"","family":"Focacci","given":"Antonio","non-dropping-particle":"","parse-names":false,"suffix":""},{"dropping-particle":"","family":"Focacci","given":"Angelo","non-dropping-particle":"","parse-names":false,"suffix":""}],"container-title":"Journal of Risk and Financial Management 2024, Vol. 17, Page 355","id":"ITEM-2","issue":"8","issued":{"date-parts":[["2024","8","13"]]},"page":"355","publisher":"Multidisciplinary Digital Publishing Institute","title":"A Re-Appraisal of the Role of Monetary Policy: The Quantity Theory of Money through a Structural Vector Autoregressive Approach","type":"article-journal","volume":"17"},"uris":["http://www.mendeley.com/documents/?uuid=9f1ced8e-d44a-366a-aa74-98ade25ea700"]}],"mendeley":{"formattedCitation":"(Drumetz &amp; Pfister, 2021; Focacci &amp; Focacci, 2024)","plainTextFormattedCitation":"(Drumetz &amp; Pfister, 2021; Focacci &amp; Focacci, 2024)","previouslyFormattedCitation":"(Drumetz &amp; Pfister, 2021; Focacci &amp; Focacci, 2024)"},"properties":{"noteIndex":0},"schema":"https://github.com/citation-style-language/schema/raw/master/csl-citation.json"}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(Drumetz &amp; Pfister, 2021; Focacci &amp; Focacci, 2024)</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Moreover, in less developed economies, deficits often lead to endogenous growth of the money supply, which is a major challenge in operationalizing the Modern Monetary Theory (MMT)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{"citationItems":[{"id":"ITEM-1","itemData":{"DOI":"10.1093/CJE/BEAD009","ISSN":"0309-166X","abstract":"This paper addresses the limitations of Modern Money Theory (MMT) as a guide to development policy. We explore two main questions on this topic: whether policies championed by MMT advocates (i) ought to be implemented in low- and middle-income economies and (ii) can be implemented. In relation to the first question, we argue that the MMT literature mischaracterises the essence of the development challenge for low- and middle-income economies. Our argument is that the chief long-run growth challenge faced by developing countries concerns structural transformation rather than general aggregate demand insufficiency. We use several formal representations of the consumption-investment trade-off in growth theory, found in the Harrod-Domar growth model, the Feldman-Mahalanobis model and Kalecki's 1963 growth model to illustrate this point. Concerning the second question, we argue that even if MMT had the correct diagnosis of the principal growth challenge faced by developing countries, its chief policy recommendations would likely be counter-productive if implemented outside of select advanced economies. We draw from the international economics literature on currency hierarchy and exchange rate volatility to illustrate this point.","author":[{"dropping-particle":"","family":"Aboobaker","given":"Adam","non-dropping-particle":"","parse-names":false,"suffix":""},{"dropping-particle":"","family":"Ugurlu","given":"Esra Nur","non-dropping-particle":"","parse-names":false,"suffix":""}],"container-title":"Cambridge Journal of Economics","id":"ITEM-1","issue":"3","issued":{"date-parts":[["2023","6","3"]]},"page":"555-574","publisher":"Oxford Academic","title":"Weaknesses of MMT as a guide to development policy","type":"article-journal","volume":"47"},"uris":["http://www.mendeley.com/documents/?uuid=bf5f24b2-d473-3ee2-afbc-9a310c4b1484"]},{"id":"ITEM-2","itemData":{"DOI":"10.22201/FE.01851667P.2023.326.86382","ISSN":"0185-1667","abstract":"This paper pays tribute to Professor Thirlwall’s substantive work in growth and development economics by providing a review of his book Inflation, Saving and Growth in Developing Economies (1974b) [hereafter isgd]. Indeed, the hallmark of a good economics book is whether its theoretical content and empirical predictions made several decades ago remain relevant when assessed against more recent evidence. Thirlwall’s isgd book exhibits all these qualities. It emphasises the importance of distinguishing between different types of inflation. Structural inflation and, to a lesser extent, cost inflation, should be seen as the inevitable outcomes of the growth and development process, whereas demand inflation may act as a direct stimulus to growth, as predicted by the Kaldor-Thirlwall model of forced saving and the inflation tax model. These theoretical insights remain highly relevant in today’s developing economies. Studies tend to show that inflation thresholds, up until the point where the effect of inflation on growth is positive, tend to be higher in developing economies relative to advanced countries, owing to a combination of structural, cost and demand-side sources of inflation. The analysis further argues that inflationary finance of development, as advanced in isgd, remains a viable development strategy when open-economy constraints are considered.","author":[{"dropping-particle":"","family":"Nell","given":"Kevin S.","non-dropping-particle":"","parse-names":false,"suffix":""}],"container-title":"Investigación económica","id":"ITEM-2","issue":"326","issued":{"date-parts":[["2023","9","1"]]},"page":"41-95","publisher":"Universidad Nacional Autónoma de México, Facultad de Economía","title":"Inflation and Growth in Developing Economies: A Tribute to Professor Thirlwall","type":"article-journal","volume":"82"},"uris":["http://www.mendeley.com/documents/?uuid=2d9c21cd-2d00-39ae-9bfb-9af78558414d"]}],"mendeley":{"formattedCitation":"(Aboobaker &amp; Ugurlu, 2023; Nell, 2023)","plainTextFormattedCitation":"(Aboobaker &amp; Ugurlu, 2023; Nell, 2023)","previouslyFormattedCitation":"(Aboobaker &amp; Ugurlu, 2023; Nell, 2023)"},"properties":{"noteIndex":0},"schema":"https://github.com/citation-style-language/schema/raw/master/csl-citation.json"}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(Aboobaker &amp; Ugurlu, 2023; Nell, 2023)</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w:t>
      </w:r>
    </w:p>
    <w:p w14:paraId="4B2C0869" w14:textId="77777777" w:rsidR="002666B8" w:rsidRPr="002B7782" w:rsidRDefault="002666B8" w:rsidP="001A2E76">
      <w:pPr>
        <w:spacing w:before="240" w:line="240" w:lineRule="auto"/>
        <w:jc w:val="both"/>
        <w:rPr>
          <w:rFonts w:ascii="Times New Roman" w:hAnsi="Times New Roman" w:cs="Times New Roman"/>
          <w:sz w:val="24"/>
          <w:szCs w:val="24"/>
        </w:rPr>
      </w:pPr>
      <w:r w:rsidRPr="002B7782">
        <w:rPr>
          <w:rFonts w:ascii="Times New Roman" w:hAnsi="Times New Roman" w:cs="Times New Roman"/>
          <w:sz w:val="24"/>
          <w:szCs w:val="24"/>
        </w:rPr>
        <w:t xml:space="preserve">Islamic economies complement these insights and promote interest-free finance, profit-loss sharing and taka redistribution to ensure stability and social justice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{"citationItems":[{"id":"ITEM-1","itemData":{"DOI":"10.1016/J.JMACRO.2020.103281","ISSN":"0164-0704","abstract":"Countries have significantly increased their public-sector borrowing since the Global Financial Crisis. As a consequence, monetary authorities may face pressure to deviate from their policy targets in ways designed to ease the debt burden. In view of this consideration, we test for greater fiscal dominance over 2000-2017 under Inflation Targeting (IT) and non-IT regimes. We find that evidence of fiscal dominance varies across countries and debt configurations. Higher ratios of public debt-to-GDP may appear associated with lower policy interest rates in advanced economies. However, a declining natural rate of interest largely explains the pattern of lower rates and higher debt in these countries. The most robust evidence of fiscal dominance lies among emerging markets under non-IT regimes, composed mostly of exchange rate targeters. For these countries, policy interest rates are non-linearly associated with public debt levels, depending on both the level of hard-currency public debt-to-GDP and the currency composition of public debt. We also show that emerging market economies with greater exchange rate volatility, inflation volatility, and underlying commodity exposure exhibit stronger associations between public debt and policy interest rates.","author":[{"dropping-particle":"","family":"Ahmed","given":"Rashad","non-dropping-particle":"","parse-names":false,"suffix":""},{"dropping-particle":"","family":"Aizenman","given":"Joshua","non-dropping-particle":"","parse-names":false,"suffix":""},{"dropping-particle":"","family":"Jinjarak","given":"Yothin","non-dropping-particle":"","parse-names":false,"suffix":""}],"container-title":"Journal of Macroeconomics","id":"ITEM-1","issued":{"date-parts":[["2021","3","1"]]},"page":"103281","publisher":"North-Holland","title":"Inflation and Exchange Rate Targeting Challenges Under Fiscal Dominance","type":"article-journal","volume":"67"},"uris":["http://www.mendeley.com/documents/?uuid=648a9b82-67a9-3b3a-9e4f-86211e859264"]}],"mendeley":{"formattedCitation":"(Ahmed et al., 2021)","plainTextFormattedCitation":"(Ahmed et al., 2021)","previouslyFormattedCitation":"(Ahmed et al., 2021)"},"properties":{"noteIndex":0},"schema":"https://github.com/citation-style-language/schema/raw/master/csl-citation.json"}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(Ahmed et al., 2021)</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By bringing the principles of full-reserve banking and these principles together, money creation will be synchronized with productive economic activity and debt-induced economic instability will be minimized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{"citationItems":[{"id":"ITEM-1","itemData":{"DOI":"10.2139/SSRN.3569416","abstract":"Modern Monetary Theory (MMT) is a heterodox macroeconomic lens that recontextualizes the role of monetary and fiscal policy in sovereign governments that borrow and issue national debt in their own monetary instrument. It MMT thus describes the practical uses of fiat currency in a public monopoly on money by a government with currency-sovereignty. MMT has gained increasing “currency” in recent years as progressive political parties discuss the “costs” involved in ambitious projects to develop their societies; but has gained an even larger audience since the spread of the Covid19 pandemic, with massive liquidity being pumped into monetary systems of the First World to grapple with the global health crisis. MMT’s interesting outlook on inflation, interest rates, government spending, deficits, and debt require the careful attention of a wider public. As such, this working paper offers a simple and general introduction to MMT.","author":[{"dropping-particle":"","family":"Chohan","given":"Usman W.","non-dropping-particle":"","parse-names":false,"suffix":""}],"container-title":"SSRN Electronic Journal","id":"ITEM-1","issued":{"date-parts":[["2020","4","6"]]},"publisher":"Elsevier BV","title":"Modern Monetary Theory (MMT): A General Introduction","type":"article-journal"},"uris":["http://www.mendeley.com/documents/?uuid=f9c80e7d-12a6-3c7f-adc5-61bb9edf7bcd"]},{"id":"ITEM-2","itemData":{"DOI":"10.1016/J.ECOLECON.2023.107968","ISSN":"0921-8009","abstract":"Degrowth lacks a theory of how the state can finance ambitious social-ecological policies and public provisioning systems while maintaining macroeconomic stability during a reduction of economic activity. Addressing this question, we present a synthesis of degrowth scholarship and Modern Monetary Theory (MMT) rooted in their shared understanding of money as a public good and their common opposition to artificial scarcity. We present two arguments. First, we draw on MMT to argue that states with sufficient monetary sovereignty face no obstacle to funding the policies necessary for a just and sustainable degrowth transition. Increased public spending neither requires nor implies GDP growth. Second, we draw on degrowth research to bring MMT in line with ecological reality. MMT posits that fiscal spending is limited only by inflation, and thus the productive capacity of the economy. We argue that efforts to deal with this constraint must also pay attention to social and ecological limits. Based on this synthesis we propose a set of monetary and fiscal policies suitable for a stable degrowth transition, including a stronger regulation of private finance, tax reforms, price controls, public provisioning systems and an emancipatory job guarantee. This approach can support broad democratic mobilization for a degrowth transition.","author":[{"dropping-particle":"","family":"Olk","given":"Christopher","non-dropping-particle":"","parse-names":false,"suffix":""},{"dropping-particle":"","family":"Schneider","given":"Colleen","non-dropping-particle":"","parse-names":false,"suffix":""},{"dropping-particle":"","family":"Hickel","given":"Jason","non-dropping-particle":"","parse-names":false,"suffix":""}],"container-title":"Ecological Economics","id":"ITEM-2","issued":{"date-parts":[["2023","12","1"]]},"page":"107968","publisher":"Elsevier","title":"How to pay for saving the world: Modern Monetary Theory for a degrowth transition","type":"article-journal","volume":"214"},"uris":["http://www.mendeley.com/documents/?uuid=324d7c99-8ccb-3237-9940-1146bcaf080b"]}],"mendeley":{"formattedCitation":"(Chohan, 2020; Olk et al., 2023)","plainTextFormattedCitation":"(Chohan, 2020; Olk et al., 2023)","previouslyFormattedCitation":"(Chohan, 2020; Olk et al., 2023)"},"properties":{"noteIndex":0},"schema":"https://github.com/citation-style-language/schema/raw/master/csl-citation.json"}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(Chohan, 2020; Olk et al., 2023)</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Modern innovations such as Central Bank Digital Currencies (CBDCs) promises programmable direct state-controlled money which eliminates the need for commercial banks and is conducive to better fiscal and monetary coordination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{"citationItems":[{"id":"ITEM-1","itemData":{"abstract":"This critical literature survey offers a comprehensive understanding of the key aspects and implications of central bank digital currencies (CBDCs) as a rapidly evolving area of academic and policy research. We review in depth the key discussion around motivations for the introduction of CBDCs and their design (looking at options of availability, provision, access, and supporting infrastructure). In addition, we review studies and arguments laid out on the implications that the introduction of CBDC may have for monetary policy and financial stability. Finally, we identify sub-areas of CBDC research that need further investigation in future research.","author":[{"dropping-particle":"","family":"Dionysopoulos","given":"Lambis","non-dropping-particle":"","parse-names":false,"suffix":""},{"dropping-particle":"","family":"Marra","given":"Miriam","non-dropping-particle":"","parse-names":false,"suffix":""},{"dropping-particle":"","family":"Urquhart","given":"Andrew","non-dropping-particle":"","parse-names":false,"suffix":""}],"container-title":"International Review of Financial Analysis","id":"ITEM-1","issued":{"date-parts":[["2023","10","11"]]},"title":"Central bank digital currencies: A critical review","type":"article-journal","volume":"91"},"uris":["http://www.mendeley.com/documents/?uuid=a5623d27-73bc-360f-855c-493f1b6c5d4e"]},{"id":"ITEM-2","itemData":{"DOI":"10.1016/J.RIBAF.2022.101736","ISSN":"0275-5319","abstract":"Central bank digital currencies are engendering concern. As understanding of CBDCs is very limited, further research is warranted which will focus not only on the economic rationale of CBDCs but also on how they will impact monetary policy transmission, financial and price stability, inflation targeting, unconventional monetary instruments, central banks as lenders of last resort, and provision of forward guidance. There are also unsettled questions regarding ethics, privacy and environmental and technological constraints. With the imminent implementation of CBDCs, it is vital to explore these issues.","author":[{"dropping-particle":"","family":"Elsayed","given":"Ahmed H.","non-dropping-particle":"","parse-names":false,"suffix":""},{"dropping-particle":"","family":"Nasir","given":"Muhammad Ali","non-dropping-particle":"","parse-names":false,"suffix":""}],"container-title":"Research in International Business and Finance","id":"ITEM-2","issued":{"date-parts":[["2022","12","1"]]},"page":"101736","publisher":"Elsevier","title":"Central bank digital currencies: An agenda for future research","type":"article-journal","volume":"62"},"uris":["http://www.mendeley.com/documents/?uuid=2e71b081-b4fe-3d0e-b026-dbee10fb060d"]},{"id":"ITEM-3","itemData":{"abstract":"We study the effectiveness of helicopter money, once a thought experiment that is now a feasible option given new digital technologies. We consider the effects of central bank digital currencies (CBDC) from a theoretical point of view, by means of a stock-flow consistent model of a growing open economy. We compare the effectiveness of this tool with that of traditional fiscal and monetary policies. We find that issuing a CBDC by expanding the central bank's balance sheet can have a durable impact on GDP and crucially, it allows for the activation of a new transmission channel, which depends on the sensitivity of investment and of the interest rate to firms' leverage. But it might reduce the demand for bank deposits, and even more crucially for bank loans, thus creating challenges for financial stability.","author":[{"dropping-particle":"","family":"Temperini","given":"Jacopo","non-dropping-particle":"","parse-names":false,"suffix":""},{"dropping-particle":"","family":"D’Ippoliti","given":"Carlo","non-dropping-particle":"","parse-names":false,"suffix":""},{"dropping-particle":"","family":"Gobbi","given":"Lucio","non-dropping-particle":"","parse-names":false,"suffix":""}],"container-title":"Structural Change and Economic Dynamics","id":"ITEM-3","issued":{"date-parts":[["2023","11","18"]]},"page":"24-36","title":"Is the time ripe for helicopter money? Growth impact and financial stability risks of outright monetary transfers","type":"article-journal","volume":"69"},"uris":["http://www.mendeley.com/documents/?uuid=26d41609-310a-381b-974b-013da01389a2"]}],"mendeley":{"formattedCitation":"(Dionysopoulos et al., 2023; Elsayed &amp; Nasir, 2022; Temperini et al., 2023)","plainTextFormattedCitation":"(Dionysopoulos et al., 2023; Elsayed &amp; Nasir, 2022; Temperini et al., 2023)","previouslyFormattedCitation":"(Dionysopoulos et al., 2023; Elsayed &amp; Nasir, 2022; Temperini et al., 2023)"},"properties":{"noteIndex":0},"schema":"https://github.com/citation-style-language/schema/raw/master/csl-citation.json"}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(Dionysopoulos et al., 2023; Elsayed &amp; Nasir, 2022; Temperini et al., 2023)</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w:t>
      </w:r>
    </w:p>
    <w:p w14:paraId="734B6FB5" w14:textId="77777777" w:rsidR="002666B8" w:rsidRPr="002B7782" w:rsidRDefault="002666B8" w:rsidP="001A2E76">
      <w:pPr>
        <w:spacing w:before="240" w:line="240" w:lineRule="auto"/>
        <w:jc w:val="both"/>
        <w:rPr>
          <w:rFonts w:ascii="Times New Roman" w:hAnsi="Times New Roman" w:cs="Times New Roman"/>
          <w:sz w:val="24"/>
          <w:szCs w:val="24"/>
        </w:rPr>
      </w:pPr>
      <w:r w:rsidRPr="002B7782">
        <w:rPr>
          <w:rFonts w:ascii="Times New Roman" w:hAnsi="Times New Roman" w:cs="Times New Roman"/>
          <w:sz w:val="24"/>
          <w:szCs w:val="24"/>
        </w:rPr>
        <w:t xml:space="preserve">Empirical research also finds that other benefits: reclaiming seigniorage for public use, reducing the need for taxation, stabilizing inflation and increasing financial inclusion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{"citationItems":[{"id":"ITEM-1","itemData":{"abstract":"We raise fundamental questions about macroeconomics relevant to escaping the financial-economic crisis and shifting to a sustainable economy. First, the feasibility of decoupling environmental pressure from aggregate income is considered. Decoupling as a single environmental strategy is found to be very risky. Next, three main arguments for economic growth are examined: growth as progress, growth to avoid economic instability, and growth to offset unemployment due to labor productivity improvements. For each, we offer orthodox, heterodox and new responses. Attention is paid to progress indicators, feedback mechanisms affecting business cycles, and strategies to limit unemployment without the need for growth. Besides offering an economy-wide angle, we discuss the role of housing and mortgage markets in economic cyclicality. Finally, interactions between real economic and financial–monetary spheres are studied. This includes money creation, capital allocation and trade-offs between efficiency and operating costs of financial systems. Throughout, environmental and transition implications are outlined.","author":[{"dropping-particle":"","family":"Antal","given":"Miklós","non-dropping-particle":"","parse-names":false,"suffix":""},{"dropping-particle":"van den","family":"Bergh","given":"Jeroen C.J.M.","non-dropping-particle":"","parse-names":false,"suffix":""}],"container-title":"Environmental Innovation and Societal Transitions","id":"ITEM-1","issued":{"date-parts":[["2013"]]},"page":"47-66","title":"Macroeconomics, financial crisis and the environment: Strategies for a sustainability transition Macroeconomics, financial crisis and the environment: Strategies for a sustainability transition","type":"article-journal","volume":"6"},"uris":["http://www.mendeley.com/documents/?uuid=0af5de9d-bb3f-3124-bfa1-2ea54fa32cb6"]},{"id":"ITEM-2","itemData":{"author":[{"dropping-particle":"","family":"Macfarlane","given":"Laurie","non-dropping-particle":"","parse-names":false,"suffix":""},{"dropping-particle":"","family":"Ryan-Collins","given":"Josh","non-dropping-particle":"","parse-names":false,"suffix":""},{"dropping-particle":"","family":"Bjerg","given":"Ole","non-dropping-particle":"","parse-names":false,"suffix":""},{"dropping-particle":"","family":"McCann","given":"Rasmus Hougaard Nielsen Duncan","non-dropping-particle":"","parse-names":false,"suffix":""}],"id":"ITEM-2","issued":{"date-parts":[["2017","1","1"]]},"title":"Making Money from Making Money : Seigniorage in the Modern Economy","type":"report"},"uris":["http://www.mendeley.com/documents/?uuid=4aae920d-b084-3e54-b6f7-080aef2f433b"]},{"id":"ITEM-3","itemData":{"abstract":"This paper provides a structured overview of the burgeoning literature on the economics of CBDC. We document the economic forces that shape the rise of digital money and review motives for the issuance of CBDC. We then study the implications for the financial system and discuss of a number of policy issues and challenges. While the academic literature broadly echoes policy makers' concerns about bank disintermediation and financial stability risks, it also provides conditions under which such adverse effects may not materialize. We also point to several knowledge gaps that merit further work, including data privacy and the study of end‐user preferences for attributes of digital payment methods.","author":[{"dropping-particle":"","family":"Ahnert","given":"Toni","non-dropping-particle":"","parse-names":false,"suffix":""},{"dropping-particle":"","family":"Assenmacher","given":"Katrin","non-dropping-particle":"","parse-names":false,"suffix":""},{"dropping-particle":"","family":"Hoffmann","given":"Peter","non-dropping-particle":"","parse-names":false,"suffix":""},{"dropping-particle":"","family":"Leonello","given":"Agnese","non-dropping-particle":"","parse-names":false,"suffix":""},{"dropping-particle":"","family":"Monnet","given":"Cyril","non-dropping-particle":"","parse-names":false,"suffix":""},{"dropping-particle":"","family":"Porcellacchia","given":"Davide","non-dropping-particle":"","parse-names":false,"suffix":""}],"container-title":"SSRN Electronic Journal","id":"ITEM-3","issued":{"date-parts":[["2023","1","1"]]},"title":"The Economics of Central Bank Digital Currency","type":"report"},"uris":["http://www.mendeley.com/documents/?uuid=00a4695a-ea97-301c-b550-80b1f9ac72b3"]},{"id":"ITEM-4","itemData":{"DOI":"10.1186/S41937-024-00124-3","ISSN":"2235-6282","abstract":"The issuance of retail central bank digital currency (CBDC) involves a transfer of risk from commercial banks to the central bank. Mechanisms that limit the transfer of risk, such as an unattractive interest rate, a quantity ceiling or the non-convertibility of cash and reserves into CBDC, are likely to discourage the use of CBDC as a medium of exchange and thus defeat the purpose of issuing CBDC.","author":[{"dropping-particle":"","family":"Baeriswyl","given":"Romain","non-dropping-particle":"","parse-names":false,"suffix":""},{"dropping-particle":"","family":"Reynard","given":"Samuel","non-dropping-particle":"","parse-names":false,"suffix":""},{"dropping-particle":"","family":"Swoboda","given":"Alexandre","non-dropping-particle":"","parse-names":false,"suffix":""}],"container-title":"Swiss Journal of Economics and Statistics 2024 160:1","id":"ITEM-4","issue":"1","issued":{"date-parts":[["2024","4","30"]]},"page":"1-15","publisher":"SpringerOpen","title":"Retail CBDC purposes and risk transfers to the central bank","type":"article-journal","volume":"160"},"uris":["http://www.mendeley.com/documents/?uuid=a701a8df-1635-3e3d-a1bc-a86b0ed5ce4e"]},{"id":"ITEM-5","itemData":{"DOI":"10.1016/J.RIBAF.2022.101834","ISSN":"0275-5319","abstract":"The international monetary system is marked by a hierarchical relationship between currencies, where the US dollar is widely used. Recently, central banks have started to launch Central Bank Digital Currencies (CBDCs), which, in contrast to cryptocurrencies, are issued by monetary authorities. The purpose of this paper is (i) to analyse and explain domestic retail CBDCs in detail, and (ii) to assess whether the creation of CBDCs poses a threat to the US dollar as the key currency of the international monetary and financial system. It will be argued that, despite the innovations a CBDC may bring, the role of the US dollar will not be affected by the introduction of multiple CBDCs (mCBDCs) alone. Although mCBDC arrangements might decentralise the international payment system, the underlying structures supporting today's unipolar system would not automatically change. It is crucial that central banks work together to establish an alternative international monetary system.","author":[{"dropping-particle":"","family":"Kuehnlenz","given":"Sophia","non-dropping-particle":"","parse-names":false,"suffix":""},{"dropping-particle":"","family":"Orsi","given":"Bianca","non-dropping-particle":"","parse-names":false,"suffix":""},{"dropping-particle":"","family":"Kaltenbrunner","given":"Annina","non-dropping-particle":"","parse-names":false,"suffix":""}],"container-title":"Research in International Business and Finance","id":"ITEM-5","issued":{"date-parts":[["2023","1","1"]]},"page":"101834","publisher":"Elsevier","title":"Central bank digital currencies and the international payment system: The demise of the US dollar?","type":"article-journal","volume":"64"},"uris":["http://www.mendeley.com/documents/?uuid=f621a03c-edba-3bb9-a271-b5af7017eb62"]}],"mendeley":{"formattedCitation":"(Ahnert et al., 2023; Antal &amp; Bergh, 2013; Baeriswyl et al., 2024; Kuehnlenz et al., 2023; Macfarlane et al., 2017)","plainTextFormattedCitation":"(Ahnert et al., 2023; Antal &amp; Bergh, 2013; Baeriswyl et al., 2024; Kuehnlenz et al., 2023; Macfarlane et al., 2017)","previouslyFormattedCitation":"(Ahnert et al., 2023; Antal &amp; Bergh, 2013; Baeriswyl et al., 2024; Kuehnlenz et al., 2023; Macfarlane et al., 2017)"},"properties":{"noteIndex":0},"schema":"https://github.com/citation-style-language/schema/raw/master/csl-citation.json"}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(Ahnert et al., 2023; Antal &amp; Bergh, 2013; Baeriswyl et al., 2024; Kuehnlenz et al., 2023; Macfarlane et al., 2017)</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Overall, the literature seems to indicate that the combination of full-reserve banking, interest-free principles and sovereign digital currencies provide a solid framework for eliminating government debt and deficits and fostering equitable growth, financial stability and social welfare </w:t>
      </w:r>
      <w:r w:rsidRPr="002B7782">
        <w:rPr>
          <w:rFonts w:ascii="Times New Roman" w:hAnsi="Times New Roman" w:cs="Times New Roman"/>
          <w:sz w:val="24"/>
          <w:szCs w:val="24"/>
        </w:rPr>
        <w:fldChar w:fldCharType="begin" w:fldLock="1"/>
      </w:r>
      <w:r w:rsidRPr="002B7782">
        <w:rPr>
          <w:rFonts w:ascii="Times New Roman" w:hAnsi="Times New Roman" w:cs="Times New Roman"/>
          <w:sz w:val="24"/>
          <w:szCs w:val="24"/>
        </w:rPr>
        <w:instrText>ADDIN CSL_CITATION {"citationItems":[{"id":"ITEM-1","itemData":{"DOI":"10.1016/J.JMACRO.2020.103281","ISSN":"0164-0704","abstract":"Countries have significantly increased their public-sector borrowing since the Global Financial Crisis. As a consequence, monetary authorities may face pressure to deviate from their policy targets in ways designed to ease the debt burden. In view of this consideration, we test for greater fiscal dominance over 2000-2017 under Inflation Targeting (IT) and non-IT regimes. We find that evidence of fiscal dominance varies across countries and debt configurations. Higher ratios of public debt-to-GDP may appear associated with lower policy interest rates in advanced economies. However, a declining natural rate of interest largely explains the pattern of lower rates and higher debt in these countries. The most robust evidence of fiscal dominance lies among emerging markets under non-IT regimes, composed mostly of exchange rate targeters. For these countries, policy interest rates are non-linearly associated with public debt levels, depending on both the level of hard-currency public debt-to-GDP and the currency composition of public debt. We also show that emerging market economies with greater exchange rate volatility, inflation volatility, and underlying commodity exposure exhibit stronger associations between public debt and policy interest rates.","author":[{"dropping-particle":"","family":"Ahmed","given":"Rashad","non-dropping-particle":"","parse-names":false,"suffix":""},{"dropping-particle":"","family":"Aizenman","given":"Joshua","non-dropping-particle":"","parse-names":false,"suffix":""},{"dropping-particle":"","family":"Jinjarak","given":"Yothin","non-dropping-particle":"","parse-names":false,"suffix":""}],"container-title":"Journal of Macroeconomics","id":"ITEM-1","issued":{"date-parts":[["2021","3","1"]]},"page":"103281","publisher":"North-Holland","title":"Inflation and Exchange Rate Targeting Challenges Under Fiscal Dominance","type":"article-journal","volume":"67"},"uris":["http://www.mendeley.com/documents/?uuid=648a9b82-67a9-3b3a-9e4f-86211e859264"]},{"id":"ITEM-2","itemData":{"abstract":"This critical literature survey offers a comprehensive understanding of the key aspects and implications of central bank digital currencies (CBDCs) as a rapidly evolving area of academic and policy research. We review in depth the key discussion around motivations for the introduction of CBDCs and their design (looking at options of availability, provision, access, and supporting infrastructure). In addition, we review studies and arguments laid out on the implications that the introduction of CBDC may have for monetary policy and financial stability. Finally, we identify sub-areas of CBDC research that need further investigation in future research.","author":[{"dropping-particle":"","family":"Dionysopoulos","given":"Lambis","non-dropping-particle":"","parse-names":false,"suffix":""},{"dropping-particle":"","family":"Marra","given":"Miriam","non-dropping-particle":"","parse-names":false,"suffix":""},{"dropping-particle":"","family":"Urquhart","given":"Andrew","non-dropping-particle":"","parse-names":false,"suffix":""}],"container-title":"International Review of Financial Analysis","id":"ITEM-2","issued":{"date-parts":[["2023","10","11"]]},"title":"Central bank digital currencies: A critical review","type":"article-journal","volume":"91"},"uris":["http://www.mendeley.com/documents/?uuid=a5623d27-73bc-360f-855c-493f1b6c5d4e"]},{"id":"ITEM-3","itemData":{"DOI":"10.4324/9781003258261-24/CENTRAL-BANK-DIGITAL-CURRENCIES-FRANCESCA-MATTASSOGLIO","ISBN":"9781003853305","abstract":"Central banks’ issuance of digital currencies has far-reaching consequences, as digital currencies impact the entire financial system beyond the mere digitisation of cash, particularly concerning the stability and role of the so-called commercial banks and other traditional intermediaries. Nowadays, currency—in its various forms as cash, bank money, and reserves—is the core of a complex system of interactions that have been gradually formed over time between the different actors involved: central banks, commercial banks, other financial operators who are now allowed to provide payment services, and, finally, users. The introduction of a central bank digital currency, especially a retail one, intended to guarantee universal access for private individuals to the central bank accounts would, in theory, lead to the elimination of banking intermediaries—in their role as money issuers—as well as the payment institutions that have entered this sector in recent years. For this reason, most central bankers, at least those in Western countries, are treading this path with extreme caution at the urging of international authorities. This chapter aims to analyse this issue.","author":[{"dropping-particle":"","family":"Mattassoglio","given":"Francesca","non-dropping-particle":"","parse-names":false,"suffix":""}],"container-title":"Digital Assets and the Law: Fiat Money in the Era of Digital Currency","id":"ITEM-3","issued":{"date-parts":[["2024","1","1"]]},"page":"331-344","publisher":"Taylor and Francis","title":"Central Bank Digital Currencies: What Future for Banks and Other Financial Intermediaries?","type":"article-journal"},"uris":["http://www.mendeley.com/documents/?uuid=d4965aaa-6618-3066-9e47-c440fddfc442"]}],"mendeley":{"formattedCitation":"(Ahmed et al., 2021; Dionysopoulos et al., 2023; Mattassoglio, 2024)","plainTextFormattedCitation":"(Ahmed et al., 2021; Dionysopoulos et al., 2023; Mattassoglio, 2024)","previouslyFormattedCitation":"(Ahmed et al., 2021; Dionysopoulos et al., 2023; Mattassoglio, 2024)"},"properties":{"noteIndex":0},"schema":"https://github.com/citation-style-language/schema/raw/master/csl-citation.json"}</w:instrText>
      </w:r>
      <w:r w:rsidRPr="002B7782">
        <w:rPr>
          <w:rFonts w:ascii="Times New Roman" w:hAnsi="Times New Roman" w:cs="Times New Roman"/>
          <w:sz w:val="24"/>
          <w:szCs w:val="24"/>
        </w:rPr>
        <w:fldChar w:fldCharType="separate"/>
      </w:r>
      <w:r w:rsidRPr="002B7782">
        <w:rPr>
          <w:rFonts w:ascii="Times New Roman" w:hAnsi="Times New Roman" w:cs="Times New Roman"/>
          <w:noProof/>
          <w:sz w:val="24"/>
          <w:szCs w:val="24"/>
        </w:rPr>
        <w:t>(Ahmed et al., 2021; Dionysopoulos et al., 2023; Mattassoglio, 2024)</w:t>
      </w:r>
      <w:r w:rsidRPr="002B7782">
        <w:rPr>
          <w:rFonts w:ascii="Times New Roman" w:hAnsi="Times New Roman" w:cs="Times New Roman"/>
          <w:sz w:val="24"/>
          <w:szCs w:val="24"/>
        </w:rPr>
        <w:fldChar w:fldCharType="end"/>
      </w:r>
      <w:r w:rsidRPr="002B7782">
        <w:rPr>
          <w:rFonts w:ascii="Times New Roman" w:hAnsi="Times New Roman" w:cs="Times New Roman"/>
          <w:sz w:val="24"/>
          <w:szCs w:val="24"/>
        </w:rPr>
        <w:t xml:space="preserve">. </w:t>
      </w:r>
    </w:p>
    <w:p w14:paraId="300966E5" w14:textId="77777777" w:rsidR="002666B8" w:rsidRPr="002B7782" w:rsidRDefault="002666B8" w:rsidP="001A2E76">
      <w:pPr>
        <w:spacing w:before="240" w:line="240" w:lineRule="auto"/>
        <w:jc w:val="both"/>
        <w:rPr>
          <w:rFonts w:ascii="Times New Roman" w:hAnsi="Times New Roman" w:cs="Times New Roman"/>
          <w:b/>
          <w:bCs/>
          <w:sz w:val="24"/>
          <w:szCs w:val="24"/>
        </w:rPr>
      </w:pPr>
      <w:r w:rsidRPr="002B7782">
        <w:rPr>
          <w:rFonts w:ascii="Times New Roman" w:hAnsi="Times New Roman" w:cs="Times New Roman"/>
          <w:b/>
          <w:bCs/>
          <w:sz w:val="24"/>
          <w:szCs w:val="24"/>
        </w:rPr>
        <w:t>3. Methodology</w:t>
      </w:r>
    </w:p>
    <w:p w14:paraId="3042F2C4" w14:textId="156F2236" w:rsidR="00D545A6" w:rsidRPr="005824E9" w:rsidRDefault="005824E9" w:rsidP="001A2E76">
      <w:pPr>
        <w:spacing w:before="240" w:line="240" w:lineRule="auto"/>
        <w:jc w:val="both"/>
        <w:rPr>
          <w:rFonts w:ascii="Times New Roman" w:hAnsi="Times New Roman" w:cs="Times New Roman"/>
          <w:sz w:val="24"/>
          <w:szCs w:val="24"/>
        </w:rPr>
      </w:pPr>
      <w:r w:rsidRPr="005824E9">
        <w:rPr>
          <w:rFonts w:ascii="Times New Roman" w:hAnsi="Times New Roman" w:cs="Times New Roman"/>
          <w:sz w:val="24"/>
          <w:szCs w:val="24"/>
        </w:rPr>
        <w:t xml:space="preserve">This study is based on conceptually based and evidence-driven methodology, as opposed to a fully computational approach, since Pakistan is currently not running a full-reserve or sovereign-money system, which could be modeled with high empirical accuracy. The analysis hence is a combination of three complementary strands. First, it develops on the existing theoretical backgrounds that are based on the Islamic monetary thought, the Chicago Plan, and sovereign money literatures, all of which assert the value of isolating money creation and the private debt. Second, it uses comparative evidence of historical and current experience of states employing interest-free or state-directed monetary instruments. Third, it applies a simplified illustrative Stock-Flow Consistent (SFC) model to compare the accounting operations of a system of a fractional-reserve bank with that of a full-reserve system. This methodology is aligned with earlier evaluation of monetary reform proposals, including </w:t>
      </w:r>
      <w:r w:rsidR="0004764B">
        <w:rPr>
          <w:rFonts w:ascii="Times New Roman" w:hAnsi="Times New Roman" w:cs="Times New Roman"/>
          <w:sz w:val="24"/>
          <w:szCs w:val="24"/>
        </w:rPr>
        <w:fldChar w:fldCharType="begin" w:fldLock="1"/>
      </w:r>
      <w:r w:rsidR="00AA21EF">
        <w:rPr>
          <w:rFonts w:ascii="Times New Roman" w:hAnsi="Times New Roman" w:cs="Times New Roman"/>
          <w:sz w:val="24"/>
          <w:szCs w:val="24"/>
        </w:rPr>
        <w:instrText>ADDIN CSL_CITATION {"citationItems":[{"id":"ITEM-1","itemData":{"DOI":"10.2139/SSRN.2679090","abstract":"Historically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Journal","id":"ITEM-1","issued":{"date-parts":[["2015","10","23"]]},"number-of-pages":"52","publisher":"Elsevier BV","title":"Is Monetary Financing Inflationary? A Case Study of the Canadian Economy, 1935-75","type":"report"},"uris":["http://www.mendeley.com/documents/?uuid=804accf2-9032-3758-bcde-f1836393fa91"]},{"id":"ITEM-2","itemData":{"DOI":"10.2139/SSRN.3569416","abstract":"Modern Monetary Theory (MMT) is a heterodox macroeconomic lens that recontextualizes the role of monetary and fiscal policy in sovereign governments that borrow and issue national debt in their own monetary instrument. It MMT thus describes the practical uses of fiat currency in a public monopoly on money by a government with currency-sovereignty. MMT has gained increasing “currency” in recent years as progressive political parties discuss the “costs” involved in ambitious projects to develop their societies; but has gained an even larger audience since the spread of the Covid19 pandemic, with massive liquidity being pumped into monetary systems of the First World to grapple with the global health crisis. MMT’s interesting outlook on inflation, interest rates, government spending, deficits, and debt require the careful attention of a wider public. As such, this working paper offers a simple and general introduction to MMT.","author":[{"dropping-particle":"","family":"Chohan","given":"Usman W.","non-dropping-particle":"","parse-names":false,"suffix":""}],"container-title":"SSRN Electronic Journal","id":"ITEM-2","issued":{"date-parts":[["2020","4","6"]]},"publisher":"Elsevier BV","title":"Modern Monetary Theory (MMT): A General Introduction","type":"article-journal"},"uris":["http://www.mendeley.com/documents/?uuid=f9c80e7d-12a6-3c7f-adc5-61bb9edf7bcd"]},{"id":"ITEM-3","itemData":{"DOI":"10.2139/SSRN.2071164","abstract":"This paper conceptualises the process, existence and the implications of fractional reserve banking in our present banking system (both conventional and Islamic). It then reasons the conformity of our contemporary Islamic banking, finance and investment institutions towards achieving the objectives of Islamic law (maqasid al-shariah) operating under the FRB framework. The paper uses conceptual and logical deductions from Qur’an and its teachings to show how fractional reserve banking violates the objectives of Islamic law (maqasid al-shariah), therefore it is impermissible in Islamic perspective. The paper also discusses some scholars’ view in support of the system. A measurement tool which is based on the objectives of Islamic law (maqasid al-shariah) parameters will be eventually used to measure empirically the implication of such system (Fractional ReserveBanking) to the society.   The paper concludes with the believe and hope that Islamic banking, finance and investment institutions should avoid the system and operate under a monetary system acceptable in Islam that will help attain the objectives of Islamic law (maqasid al-shariah).","author":[{"dropping-particle":"","family":"Dangulbi","given":"Sani M.","non-dropping-particle":"","parse-names":false,"suffix":""},{"dropping-particle":"","family":"Salleh","given":"Arfah","non-dropping-particle":"","parse-names":false,"suffix":""},{"dropping-particle":"","family":"Meera","given":"Ahamed Kameel","non-dropping-particle":"","parse-names":false,"suffix":""},{"dropping-particle":"","family":"Aziuddin","given":"A.","non-dropping-particle":"","parse-names":false,"suffix":""}],"container-title":"SSRN Electronic Journal","id":"ITEM-3","issued":{"date-parts":[["2012","5","31"]]},"publisher":"Elsevier BV","title":"Fractional Reserve Banking and Maqasid Al-Shariah: An Incompatible Practice?","type":"article-journal"},"uris":["http://www.mendeley.com/documents/?uuid=d098827c-b7cd-3aa7-8eeb-489ce73015b4"]}],"mendeley":{"formattedCitation":"(Chohan, 2020; Dangulbi et al., 2012; Ryan-Collins, 2015)","plainTextFormattedCitation":"(Chohan, 2020; Dangulbi et al., 2012; Ryan-Collins, 2015)","previouslyFormattedCitation":"(Chohan, 2020; Dangulbi et al., 2012; Ryan-Collins, 2015)"},"properties":{"noteIndex":0},"schema":"https://github.com/citation-style-language/schema/raw/master/csl-citation.json"}</w:instrText>
      </w:r>
      <w:r w:rsidR="0004764B">
        <w:rPr>
          <w:rFonts w:ascii="Times New Roman" w:hAnsi="Times New Roman" w:cs="Times New Roman"/>
          <w:sz w:val="24"/>
          <w:szCs w:val="24"/>
        </w:rPr>
        <w:fldChar w:fldCharType="separate"/>
      </w:r>
      <w:r w:rsidR="0004764B" w:rsidRPr="0004764B">
        <w:rPr>
          <w:rFonts w:ascii="Times New Roman" w:hAnsi="Times New Roman" w:cs="Times New Roman"/>
          <w:noProof/>
          <w:sz w:val="24"/>
          <w:szCs w:val="24"/>
        </w:rPr>
        <w:t>(Chohan, 2020; Dangulbi et al., 2012; Ryan-Collins, 2015)</w:t>
      </w:r>
      <w:r w:rsidR="0004764B">
        <w:rPr>
          <w:rFonts w:ascii="Times New Roman" w:hAnsi="Times New Roman" w:cs="Times New Roman"/>
          <w:sz w:val="24"/>
          <w:szCs w:val="24"/>
        </w:rPr>
        <w:fldChar w:fldCharType="end"/>
      </w:r>
      <w:r w:rsidRPr="005824E9">
        <w:rPr>
          <w:rFonts w:ascii="Times New Roman" w:hAnsi="Times New Roman" w:cs="Times New Roman"/>
          <w:sz w:val="24"/>
          <w:szCs w:val="24"/>
        </w:rPr>
        <w:t xml:space="preserve"> in which the emphasis is placed on monetary logic, institutional feasibility, and historical precedent and no longer on purely econometric forecasting.</w:t>
      </w:r>
    </w:p>
    <w:p w14:paraId="3AA6D795" w14:textId="77777777" w:rsidR="002666B8" w:rsidRPr="003F79AD" w:rsidRDefault="002666B8" w:rsidP="001A2E76">
      <w:pPr>
        <w:spacing w:before="240" w:line="240" w:lineRule="auto"/>
        <w:jc w:val="both"/>
        <w:rPr>
          <w:rFonts w:ascii="Times New Roman" w:hAnsi="Times New Roman" w:cs="Times New Roman"/>
          <w:i/>
          <w:iCs/>
          <w:sz w:val="24"/>
          <w:szCs w:val="24"/>
        </w:rPr>
      </w:pPr>
      <w:r w:rsidRPr="003F79AD">
        <w:rPr>
          <w:rFonts w:ascii="Times New Roman" w:hAnsi="Times New Roman" w:cs="Times New Roman"/>
          <w:i/>
          <w:iCs/>
          <w:sz w:val="24"/>
          <w:szCs w:val="24"/>
        </w:rPr>
        <w:t>3.1 Theoretical Framework</w:t>
      </w:r>
    </w:p>
    <w:p w14:paraId="0BAFFAB1" w14:textId="37889C93" w:rsidR="00ED7B50" w:rsidRPr="00174EFA" w:rsidRDefault="00FE5FEB" w:rsidP="001A2E76">
      <w:pPr>
        <w:spacing w:before="240" w:line="240" w:lineRule="auto"/>
        <w:jc w:val="both"/>
        <w:rPr>
          <w:rFonts w:ascii="Times New Roman" w:hAnsi="Times New Roman" w:cs="Times New Roman"/>
          <w:sz w:val="24"/>
          <w:szCs w:val="24"/>
        </w:rPr>
      </w:pPr>
      <w:r w:rsidRPr="00174EFA">
        <w:rPr>
          <w:rFonts w:ascii="Times New Roman" w:hAnsi="Times New Roman" w:cs="Times New Roman"/>
          <w:sz w:val="24"/>
          <w:szCs w:val="24"/>
        </w:rPr>
        <w:t xml:space="preserve">The theoretical framework that the study relies on is based on three related traditions of monetary economics that meet at the same point, which is the sovereign ownership of the money </w:t>
      </w:r>
      <w:r w:rsidRPr="00174EFA">
        <w:rPr>
          <w:rFonts w:ascii="Times New Roman" w:hAnsi="Times New Roman" w:cs="Times New Roman"/>
          <w:sz w:val="24"/>
          <w:szCs w:val="24"/>
        </w:rPr>
        <w:lastRenderedPageBreak/>
        <w:t xml:space="preserve">creation. First is the Chicago Plan that was originally created by Fisher in the 1930s and revised by </w:t>
      </w:r>
      <w:r w:rsidR="00AA21EF">
        <w:rPr>
          <w:rFonts w:ascii="Times New Roman" w:hAnsi="Times New Roman" w:cs="Times New Roman"/>
          <w:sz w:val="24"/>
          <w:szCs w:val="24"/>
        </w:rPr>
        <w:fldChar w:fldCharType="begin" w:fldLock="1"/>
      </w:r>
      <w:r w:rsidR="000466E0">
        <w:rPr>
          <w:rFonts w:ascii="Times New Roman" w:hAnsi="Times New Roman" w:cs="Times New Roman"/>
          <w:sz w:val="24"/>
          <w:szCs w:val="24"/>
        </w:rPr>
        <w:instrText>ADDIN CSL_CITATION {"citationItems":[{"id":"ITEM-1","itemData":{"author":[{"dropping-particle":"","family":"Benes","given":"MJ","non-dropping-particle":"","parse-names":false,"suffix":""},{"dropping-particle":"","family":"Kumhof","given":"MM","non-dropping-particle":"","parse-names":false,"suffix":""}],"id":"ITEM-1","issued":{"date-parts":[["2012"]]},"publisher":"International Monetary Fund","title":"The Chicago plan revisited","type":"book"},"uris":["http://www.mendeley.com/documents/?uuid=247a3f89-3605-4ed6-9895-506a6fcdc622"]}],"mendeley":{"formattedCitation":"(Benes &amp; Kumhof, 2012)","plainTextFormattedCitation":"(Benes &amp; Kumhof, 2012)","previouslyFormattedCitation":"(Benes &amp; Kumhof, 2012)"},"properties":{"noteIndex":0},"schema":"https://github.com/citation-style-language/schema/raw/master/csl-citation.json"}</w:instrText>
      </w:r>
      <w:r w:rsidR="00AA21EF">
        <w:rPr>
          <w:rFonts w:ascii="Times New Roman" w:hAnsi="Times New Roman" w:cs="Times New Roman"/>
          <w:sz w:val="24"/>
          <w:szCs w:val="24"/>
        </w:rPr>
        <w:fldChar w:fldCharType="separate"/>
      </w:r>
      <w:r w:rsidR="00AA21EF" w:rsidRPr="00AA21EF">
        <w:rPr>
          <w:rFonts w:ascii="Times New Roman" w:hAnsi="Times New Roman" w:cs="Times New Roman"/>
          <w:noProof/>
          <w:sz w:val="24"/>
          <w:szCs w:val="24"/>
        </w:rPr>
        <w:t>(Benes &amp; Kumhof, 2012)</w:t>
      </w:r>
      <w:r w:rsidR="00AA21EF">
        <w:rPr>
          <w:rFonts w:ascii="Times New Roman" w:hAnsi="Times New Roman" w:cs="Times New Roman"/>
          <w:sz w:val="24"/>
          <w:szCs w:val="24"/>
        </w:rPr>
        <w:fldChar w:fldCharType="end"/>
      </w:r>
      <w:r w:rsidRPr="00174EFA">
        <w:rPr>
          <w:rFonts w:ascii="Times New Roman" w:hAnsi="Times New Roman" w:cs="Times New Roman"/>
          <w:sz w:val="24"/>
          <w:szCs w:val="24"/>
        </w:rPr>
        <w:t xml:space="preserve">, which suggests dividing money creation and lending by commercial banks with the help of full-reserve regime to achieve better stability and lessen the indebtedness of the population. The second one is the strand of sovereign money theory that suggests that government is able to issue money directly in the social interest without going through interest-bearing debt and thus seigniorage is brought back to serve the common good </w:t>
      </w:r>
      <w:r w:rsidR="000466E0">
        <w:rPr>
          <w:rFonts w:ascii="Times New Roman" w:hAnsi="Times New Roman" w:cs="Times New Roman"/>
          <w:sz w:val="24"/>
          <w:szCs w:val="24"/>
        </w:rPr>
        <w:fldChar w:fldCharType="begin" w:fldLock="1"/>
      </w:r>
      <w:r w:rsidR="00CB6DEB">
        <w:rPr>
          <w:rFonts w:ascii="Times New Roman" w:hAnsi="Times New Roman" w:cs="Times New Roman"/>
          <w:sz w:val="24"/>
          <w:szCs w:val="24"/>
        </w:rPr>
        <w:instrText>ADDIN CSL_CITATION {"citationItems":[{"id":"ITEM-1","itemData":{"DOI":"10.2139/SSRN.2679090","abstract":"Historically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Journal","id":"ITEM-1","issued":{"date-parts":[["2015","10","23"]]},"number-of-pages":"52","publisher":"Elsevier BV","title":"Is Monetary Financing Inflationary? A Case Study of the Canadian Economy, 1935-75","type":"report"},"uris":["http://www.mendeley.com/documents/?uuid=804accf2-9032-3758-bcde-f1836393fa91"]},{"id":"ITEM-2","itemData":{"DOI":"10.2139/SSRN.4890683","author":[{"dropping-particle":"","family":"Berkeley","given":"Andrew","non-dropping-particle":"","parse-names":false,"suffix":""},{"dropping-particle":"","family":"Ryan-Collins","given":"Josh","non-dropping-particle":"","parse-names":false,"suffix":""},{"dropping-particle":"","family":"Ruge","given":"Asker Voldsgaard","non-dropping-particle":"","parse-names":false,"suffix":""},{"dropping-particle":"","family":"Tye","given":"Richard","non-dropping-particle":"","parse-names":false,"suffix":""},{"dropping-particle":"","family":"Wilson","given":"Neil","non-dropping-particle":"","parse-names":false,"suffix":""}],"container-title":"SSRN Electronic Journal","id":"ITEM-2","issued":{"date-parts":[["2024","1","26"]]},"publisher":"Elsevier BV","title":"The self-financing state: an institutional analysis of government expenditure, revenue collection and debt issuance operations in the United Kingdom","type":"article-journal"},"uris":["http://www.mendeley.com/documents/?uuid=db306c09-685b-3c83-bea4-5796869264e3"]}],"mendeley":{"formattedCitation":"(Berkeley et al., 2024; Ryan-Collins, 2015)","plainTextFormattedCitation":"(Berkeley et al., 2024; Ryan-Collins, 2015)","previouslyFormattedCitation":"(Berkeley et al., 2024; Ryan-Collins, 2015)"},"properties":{"noteIndex":0},"schema":"https://github.com/citation-style-language/schema/raw/master/csl-citation.json"}</w:instrText>
      </w:r>
      <w:r w:rsidR="000466E0">
        <w:rPr>
          <w:rFonts w:ascii="Times New Roman" w:hAnsi="Times New Roman" w:cs="Times New Roman"/>
          <w:sz w:val="24"/>
          <w:szCs w:val="24"/>
        </w:rPr>
        <w:fldChar w:fldCharType="separate"/>
      </w:r>
      <w:r w:rsidR="000466E0" w:rsidRPr="000466E0">
        <w:rPr>
          <w:rFonts w:ascii="Times New Roman" w:hAnsi="Times New Roman" w:cs="Times New Roman"/>
          <w:noProof/>
          <w:sz w:val="24"/>
          <w:szCs w:val="24"/>
        </w:rPr>
        <w:t>(Berkeley et al., 2024; Ryan-Collins, 2015)</w:t>
      </w:r>
      <w:r w:rsidR="000466E0">
        <w:rPr>
          <w:rFonts w:ascii="Times New Roman" w:hAnsi="Times New Roman" w:cs="Times New Roman"/>
          <w:sz w:val="24"/>
          <w:szCs w:val="24"/>
        </w:rPr>
        <w:fldChar w:fldCharType="end"/>
      </w:r>
      <w:r w:rsidR="000466E0">
        <w:rPr>
          <w:rFonts w:ascii="Times New Roman" w:hAnsi="Times New Roman" w:cs="Times New Roman"/>
          <w:sz w:val="24"/>
          <w:szCs w:val="24"/>
        </w:rPr>
        <w:t>.</w:t>
      </w:r>
      <w:r w:rsidRPr="00174EFA">
        <w:rPr>
          <w:rFonts w:ascii="Times New Roman" w:hAnsi="Times New Roman" w:cs="Times New Roman"/>
          <w:sz w:val="24"/>
          <w:szCs w:val="24"/>
        </w:rPr>
        <w:t xml:space="preserve"> The third and equally significant pillar is based on Islamic banking teachings of scholars like Chapra, Saeed, and Mirakhor that forbids riba, promotes equity-based financing systems, and considers money as a medium of exchange and not as a rent-generating asset.</w:t>
      </w:r>
      <w:r w:rsidR="00174EFA" w:rsidRPr="00174EFA">
        <w:rPr>
          <w:rFonts w:ascii="Times New Roman" w:hAnsi="Times New Roman" w:cs="Times New Roman"/>
          <w:sz w:val="24"/>
          <w:szCs w:val="24"/>
        </w:rPr>
        <w:t xml:space="preserve"> When integrated, these views conceptualize a full-reserve and interest-free system where deposits are completely secured by reserves, where the creation of the money supply is limited, where monetary growth is tied to the real productive potential, and where the state recovers fiscal space by seizing monetary incomes that are now flowing to the banking industry.</w:t>
      </w:r>
    </w:p>
    <w:p w14:paraId="7F8BBC66" w14:textId="77777777" w:rsidR="002666B8" w:rsidRPr="003F79AD" w:rsidRDefault="002666B8" w:rsidP="001A2E76">
      <w:pPr>
        <w:spacing w:before="240" w:line="240" w:lineRule="auto"/>
        <w:jc w:val="both"/>
        <w:rPr>
          <w:rFonts w:ascii="Times New Roman" w:hAnsi="Times New Roman" w:cs="Times New Roman"/>
          <w:i/>
          <w:iCs/>
          <w:sz w:val="24"/>
          <w:szCs w:val="24"/>
          <w:highlight w:val="yellow"/>
        </w:rPr>
      </w:pPr>
      <w:r w:rsidRPr="003F79AD">
        <w:rPr>
          <w:rFonts w:ascii="Times New Roman" w:hAnsi="Times New Roman" w:cs="Times New Roman"/>
          <w:i/>
          <w:iCs/>
          <w:sz w:val="24"/>
          <w:szCs w:val="24"/>
        </w:rPr>
        <w:t>3.2 Empirical Component: Historical and Comparative Case Studies</w:t>
      </w:r>
    </w:p>
    <w:p w14:paraId="45CA9768" w14:textId="0F73DFDF" w:rsidR="000042D3" w:rsidRPr="00C87812" w:rsidRDefault="000042D3" w:rsidP="001A2E76">
      <w:pPr>
        <w:spacing w:before="240" w:line="240" w:lineRule="auto"/>
        <w:jc w:val="both"/>
        <w:rPr>
          <w:rFonts w:ascii="Times New Roman" w:hAnsi="Times New Roman" w:cs="Times New Roman"/>
          <w:sz w:val="24"/>
          <w:szCs w:val="24"/>
        </w:rPr>
      </w:pPr>
      <w:r w:rsidRPr="00C87812">
        <w:rPr>
          <w:rFonts w:ascii="Times New Roman" w:hAnsi="Times New Roman" w:cs="Times New Roman"/>
          <w:sz w:val="24"/>
          <w:szCs w:val="24"/>
        </w:rPr>
        <w:t xml:space="preserve">Since Pakistan is yet to adopt a full-reserve or sovereign-money system, the research relies on the past experiences of other countries to assess the viability and operational consequences. A notable example is the case of Canada between 1935 and 1975, where the large part of government spending was funded by non-interest-bearing money creation without triggering the destabilizing inflation, as long as money creation was linked to productive activity </w:t>
      </w:r>
      <w:r w:rsidR="0020554A">
        <w:rPr>
          <w:rFonts w:ascii="Times New Roman" w:hAnsi="Times New Roman" w:cs="Times New Roman"/>
          <w:sz w:val="24"/>
          <w:szCs w:val="24"/>
        </w:rPr>
        <w:fldChar w:fldCharType="begin" w:fldLock="1"/>
      </w:r>
      <w:r w:rsidR="00523E1E">
        <w:rPr>
          <w:rFonts w:ascii="Times New Roman" w:hAnsi="Times New Roman" w:cs="Times New Roman"/>
          <w:sz w:val="24"/>
          <w:szCs w:val="24"/>
        </w:rPr>
        <w:instrText>ADDIN CSL_CITATION {"citationItems":[{"id":"ITEM-1","itemData":{"DOI":"10.2139/SSRN.2679090","abstract":"Historically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Journal","id":"ITEM-1","issued":{"date-parts":[["2015","10","23"]]},"number-of-pages":"52","publisher":"Elsevier BV","title":"Is Monetary Financing Inflationary? A Case Study of the Canadian Economy, 1935-75","type":"report"},"uris":["http://www.mendeley.com/documents/?uuid=804accf2-9032-3758-bcde-f1836393fa91"]}],"mendeley":{"formattedCitation":"(Ryan-Collins, 2015)","plainTextFormattedCitation":"(Ryan-Collins, 2015)","previouslyFormattedCitation":"(Ryan-Collins, 2015)"},"properties":{"noteIndex":0},"schema":"https://github.com/citation-style-language/schema/raw/master/csl-citation.json"}</w:instrText>
      </w:r>
      <w:r w:rsidR="0020554A">
        <w:rPr>
          <w:rFonts w:ascii="Times New Roman" w:hAnsi="Times New Roman" w:cs="Times New Roman"/>
          <w:sz w:val="24"/>
          <w:szCs w:val="24"/>
        </w:rPr>
        <w:fldChar w:fldCharType="separate"/>
      </w:r>
      <w:r w:rsidR="0020554A" w:rsidRPr="0020554A">
        <w:rPr>
          <w:rFonts w:ascii="Times New Roman" w:hAnsi="Times New Roman" w:cs="Times New Roman"/>
          <w:noProof/>
          <w:sz w:val="24"/>
          <w:szCs w:val="24"/>
        </w:rPr>
        <w:t>(Ryan-Collins, 2015)</w:t>
      </w:r>
      <w:r w:rsidR="0020554A">
        <w:rPr>
          <w:rFonts w:ascii="Times New Roman" w:hAnsi="Times New Roman" w:cs="Times New Roman"/>
          <w:sz w:val="24"/>
          <w:szCs w:val="24"/>
        </w:rPr>
        <w:fldChar w:fldCharType="end"/>
      </w:r>
      <w:r w:rsidR="0020554A">
        <w:rPr>
          <w:rFonts w:ascii="Times New Roman" w:hAnsi="Times New Roman" w:cs="Times New Roman"/>
          <w:sz w:val="24"/>
          <w:szCs w:val="24"/>
        </w:rPr>
        <w:t>.</w:t>
      </w:r>
      <w:r w:rsidRPr="00C87812">
        <w:rPr>
          <w:rFonts w:ascii="Times New Roman" w:hAnsi="Times New Roman" w:cs="Times New Roman"/>
          <w:sz w:val="24"/>
          <w:szCs w:val="24"/>
        </w:rPr>
        <w:t xml:space="preserve"> Further evidence can be found in Islamic finance-based regimes in Sudan, Iran, and Malaysia, which, though not full-reserve systems, prove that large-scale interest-free instruments can facilitate the national-level financial activity without destabilizing the monetary policy </w:t>
      </w:r>
      <w:r w:rsidR="00523E1E">
        <w:rPr>
          <w:rFonts w:ascii="Times New Roman" w:hAnsi="Times New Roman" w:cs="Times New Roman"/>
          <w:sz w:val="24"/>
          <w:szCs w:val="24"/>
        </w:rPr>
        <w:fldChar w:fldCharType="begin" w:fldLock="1"/>
      </w:r>
      <w:r w:rsidR="00523E1E">
        <w:rPr>
          <w:rFonts w:ascii="Times New Roman" w:hAnsi="Times New Roman" w:cs="Times New Roman"/>
          <w:sz w:val="24"/>
          <w:szCs w:val="24"/>
        </w:rPr>
        <w:instrText>ADDIN CSL_CITATION {"citationItems":[{"id":"ITEM-1","itemData":{"DOI":"10.1016/J.JMACRO.2020.103281","ISSN":"0164-0704","abstract":"Countries have significantly increased their public-sector borrowing since the Global Financial Crisis. As a consequence, monetary authorities may face pressure to deviate from their policy targets in ways designed to ease the debt burden. In view of this consideration, we test for greater fiscal dominance over 2000-2017 under Inflation Targeting (IT) and non-IT regimes. We find that evidence of fiscal dominance varies across countries and debt configurations. Higher ratios of public debt-to-GDP may appear associated with lower policy interest rates in advanced economies. However, a declining natural rate of interest largely explains the pattern of lower rates and higher debt in these countries. The most robust evidence of fiscal dominance lies among emerging markets under non-IT regimes, composed mostly of exchange rate targeters. For these countries, policy interest rates are non-linearly associated with public debt levels, depending on both the level of hard-currency public debt-to-GDP and the currency composition of public debt. We also show that emerging market economies with greater exchange rate volatility, inflation volatility, and underlying commodity exposure exhibit stronger associations between public debt and policy interest rates.","author":[{"dropping-particle":"","family":"Ahmed","given":"Rashad","non-dropping-particle":"","parse-names":false,"suffix":""},{"dropping-particle":"","family":"Aizenman","given":"Joshua","non-dropping-particle":"","parse-names":false,"suffix":""},{"dropping-particle":"","family":"Jinjarak","given":"Yothin","non-dropping-particle":"","parse-names":false,"suffix":""}],"container-title":"Journal of Macroeconomics","id":"ITEM-1","issued":{"date-parts":[["2021","3","1"]]},"page":"103281","publisher":"North-Holland","title":"Inflation and Exchange Rate Targeting Challenges Under Fiscal Dominance","type":"article-journal","volume":"67"},"uris":["http://www.mendeley.com/documents/?uuid=648a9b82-67a9-3b3a-9e4f-86211e859264"]},{"id":"ITEM-2","itemData":{"DOI":"10.2139/SSRN.3348465","abstract":"It is widely known that in a fiat currency system, governments can create money tokens to meet public expenditure, then take some of them back through taxation or bond issue to adjust the money supply to a desired level. Yet the treasury departments in most countries strive to formulate fiscal policies in an attempt to match taxation with public expenditure while, at the same time, the central banks use monetary policy instruments for regulating money supply. The key question addressed in this research is whether the policies of the treasury departments and central banks are relevant to the functioning of the present-day economies where fiat currency is supposed to facilitate transactions rather than being a commodity. A parsimonious model of the macroeconomic system subsuming also the fiscal and monetary interventions is presented. The model is then used to understand the relevance of taxation to fiat money and to explore alternative policy levers for funding public expenditure and regulating money supply while delinking expenditure from taxation. It is proposed thatÂ the public spending can be entirely funded through deficits, while taxation together with open market operations is used as inflation control instruments. Control mechanisms for driving taxation and open market operations are explored.","author":[{"dropping-particle":"","family":"Saeed","given":"Khalid","non-dropping-particle":"","parse-names":false,"suffix":""}],"container-title":"SSRN Electronic Journal","id":"ITEM-2","issued":{"date-parts":[["2019","3","4"]]},"publisher":"Elsevier BV","title":"Unlinking Public Finance and Taxation in a Fiat Currency System","type":"article-journal"},"uris":["http://www.mendeley.com/documents/?uuid=4d3460c4-fd4c-3148-9e8f-ea304a4262f7"]}],"mendeley":{"formattedCitation":"(Ahmed et al., 2021; Saeed, 2019)","plainTextFormattedCitation":"(Ahmed et al., 2021; Saeed, 2019)","previouslyFormattedCitation":"(Ahmed et al., 2021; Saeed, 2019)"},"properties":{"noteIndex":0},"schema":"https://github.com/citation-style-language/schema/raw/master/csl-citation.json"}</w:instrText>
      </w:r>
      <w:r w:rsidR="00523E1E">
        <w:rPr>
          <w:rFonts w:ascii="Times New Roman" w:hAnsi="Times New Roman" w:cs="Times New Roman"/>
          <w:sz w:val="24"/>
          <w:szCs w:val="24"/>
        </w:rPr>
        <w:fldChar w:fldCharType="separate"/>
      </w:r>
      <w:r w:rsidR="00523E1E" w:rsidRPr="00523E1E">
        <w:rPr>
          <w:rFonts w:ascii="Times New Roman" w:hAnsi="Times New Roman" w:cs="Times New Roman"/>
          <w:noProof/>
          <w:sz w:val="24"/>
          <w:szCs w:val="24"/>
        </w:rPr>
        <w:t>(Ahmed et al., 2021; Saeed, 2019)</w:t>
      </w:r>
      <w:r w:rsidR="00523E1E">
        <w:rPr>
          <w:rFonts w:ascii="Times New Roman" w:hAnsi="Times New Roman" w:cs="Times New Roman"/>
          <w:sz w:val="24"/>
          <w:szCs w:val="24"/>
        </w:rPr>
        <w:fldChar w:fldCharType="end"/>
      </w:r>
      <w:r w:rsidR="00523E1E">
        <w:rPr>
          <w:rFonts w:ascii="Times New Roman" w:hAnsi="Times New Roman" w:cs="Times New Roman"/>
          <w:sz w:val="24"/>
          <w:szCs w:val="24"/>
        </w:rPr>
        <w:t>.</w:t>
      </w:r>
      <w:r w:rsidR="00290125" w:rsidRPr="00C87812">
        <w:rPr>
          <w:rFonts w:ascii="Times New Roman" w:hAnsi="Times New Roman" w:cs="Times New Roman"/>
          <w:sz w:val="24"/>
          <w:szCs w:val="24"/>
        </w:rPr>
        <w:t xml:space="preserve"> </w:t>
      </w:r>
      <w:r w:rsidR="00290125" w:rsidRPr="00290125">
        <w:rPr>
          <w:rFonts w:ascii="Times New Roman" w:hAnsi="Times New Roman" w:cs="Times New Roman"/>
          <w:sz w:val="24"/>
          <w:szCs w:val="24"/>
        </w:rPr>
        <w:t xml:space="preserve">The recent </w:t>
      </w:r>
      <w:r w:rsidR="00290125" w:rsidRPr="00C87812">
        <w:rPr>
          <w:rFonts w:ascii="Times New Roman" w:hAnsi="Times New Roman" w:cs="Times New Roman"/>
          <w:sz w:val="24"/>
          <w:szCs w:val="24"/>
        </w:rPr>
        <w:t>evidence</w:t>
      </w:r>
      <w:r w:rsidR="00290125" w:rsidRPr="00290125">
        <w:rPr>
          <w:rFonts w:ascii="Times New Roman" w:hAnsi="Times New Roman" w:cs="Times New Roman"/>
          <w:sz w:val="24"/>
          <w:szCs w:val="24"/>
        </w:rPr>
        <w:t xml:space="preserve"> of the global Central Bank Digital Currency (CBDC) pilots, such as in China, Nigeria, and the Bahamas, also demonstrates how digital money under the control of the sovereign can help cut the intermediation costs, improve the transmission of fiscal policy, and improve the coordination of the policy </w:t>
      </w:r>
      <w:r w:rsidR="00523E1E">
        <w:rPr>
          <w:rFonts w:ascii="Times New Roman" w:hAnsi="Times New Roman" w:cs="Times New Roman"/>
          <w:sz w:val="24"/>
          <w:szCs w:val="24"/>
        </w:rPr>
        <w:fldChar w:fldCharType="begin" w:fldLock="1"/>
      </w:r>
      <w:r w:rsidR="00523E1E">
        <w:rPr>
          <w:rFonts w:ascii="Times New Roman" w:hAnsi="Times New Roman" w:cs="Times New Roman"/>
          <w:sz w:val="24"/>
          <w:szCs w:val="24"/>
        </w:rPr>
        <w:instrText>ADDIN CSL_CITATION {"citationItems":[{"id":"ITEM-1","itemData":{"abstract":"This paper provides a structured overview of the burgeoning literature on the economics of CBDC. We document the economic forces that shape the rise of digital money and review motives for the issuance of CBDC. We then study the implications for the financial system and discuss of a number of policy issues and challenges. While the academic literature broadly echoes policy makers' concerns about bank disintermediation and financial stability risks, it also provides conditions under which such adverse effects may not materialize. We also point to several knowledge gaps that merit further work, including data privacy and the study of end‐user preferences for attributes of digital payment methods.","author":[{"dropping-particle":"","family":"Ahnert","given":"Toni","non-dropping-particle":"","parse-names":false,"suffix":""},{"dropping-particle":"","family":"Assenmacher","given":"Katrin","non-dropping-particle":"","parse-names":false,"suffix":""},{"dropping-particle":"","family":"Hoffmann","given":"Peter","non-dropping-particle":"","parse-names":false,"suffix":""},{"dropping-particle":"","family":"Leonello","given":"Agnese","non-dropping-particle":"","parse-names":false,"suffix":""},{"dropping-particle":"","family":"Monnet","given":"Cyril","non-dropping-particle":"","parse-names":false,"suffix":""},{"dropping-particle":"","family":"Porcellacchia","given":"Davide","non-dropping-particle":"","parse-names":false,"suffix":""}],"container-title":"SSRN Electronic Journal","id":"ITEM-1","issued":{"date-parts":[["2023","1","1"]]},"title":"The Economics of Central Bank Digital Currency","type":"report"},"uris":["http://www.mendeley.com/documents/?uuid=00a4695a-ea97-301c-b550-80b1f9ac72b3"]},{"id":"ITEM-2","itemData":{"DOI":"10.1016/J.RIBAF.2022.101736","ISSN":"0275-5319","abstract":"Central bank digital currencies are engendering concern. As understanding of CBDCs is very limited, further research is warranted which will focus not only on the economic rationale of CBDCs but also on how they will impact monetary policy transmission, financial and price stability, inflation targeting, unconventional monetary instruments, central banks as lenders of last resort, and provision of forward guidance. There are also unsettled questions regarding ethics, privacy and environmental and technological constraints. With the imminent implementation of CBDCs, it is vital to explore these issues.","author":[{"dropping-particle":"","family":"Elsayed","given":"Ahmed H.","non-dropping-particle":"","parse-names":false,"suffix":""},{"dropping-particle":"","family":"Nasir","given":"Muhammad Ali","non-dropping-particle":"","parse-names":false,"suffix":""}],"container-title":"Research in International Business and Finance","id":"ITEM-2","issued":{"date-parts":[["2022","12","1"]]},"page":"101736","publisher":"Elsevier","title":"Central bank digital currencies: An agenda for future research","type":"article-journal","volume":"62"},"uris":["http://www.mendeley.com/documents/?uuid=2e71b081-b4fe-3d0e-b026-dbee10fb060d"]}],"mendeley":{"formattedCitation":"(Ahnert et al., 2023; Elsayed &amp; Nasir, 2022)","plainTextFormattedCitation":"(Ahnert et al., 2023; Elsayed &amp; Nasir, 2022)","previouslyFormattedCitation":"(Ahnert et al., 2023; Elsayed &amp; Nasir, 2022)"},"properties":{"noteIndex":0},"schema":"https://github.com/citation-style-language/schema/raw/master/csl-citation.json"}</w:instrText>
      </w:r>
      <w:r w:rsidR="00523E1E">
        <w:rPr>
          <w:rFonts w:ascii="Times New Roman" w:hAnsi="Times New Roman" w:cs="Times New Roman"/>
          <w:sz w:val="24"/>
          <w:szCs w:val="24"/>
        </w:rPr>
        <w:fldChar w:fldCharType="separate"/>
      </w:r>
      <w:r w:rsidR="00523E1E" w:rsidRPr="00523E1E">
        <w:rPr>
          <w:rFonts w:ascii="Times New Roman" w:hAnsi="Times New Roman" w:cs="Times New Roman"/>
          <w:noProof/>
          <w:sz w:val="24"/>
          <w:szCs w:val="24"/>
        </w:rPr>
        <w:t>(Ahnert et al., 2023; Elsayed &amp; Nasir, 2022)</w:t>
      </w:r>
      <w:r w:rsidR="00523E1E">
        <w:rPr>
          <w:rFonts w:ascii="Times New Roman" w:hAnsi="Times New Roman" w:cs="Times New Roman"/>
          <w:sz w:val="24"/>
          <w:szCs w:val="24"/>
        </w:rPr>
        <w:fldChar w:fldCharType="end"/>
      </w:r>
      <w:r w:rsidR="00523E1E">
        <w:rPr>
          <w:rFonts w:ascii="Times New Roman" w:hAnsi="Times New Roman" w:cs="Times New Roman"/>
          <w:sz w:val="24"/>
          <w:szCs w:val="24"/>
        </w:rPr>
        <w:t>.</w:t>
      </w:r>
      <w:r w:rsidR="00290125" w:rsidRPr="00C87812">
        <w:rPr>
          <w:rFonts w:ascii="Times New Roman" w:hAnsi="Times New Roman" w:cs="Times New Roman"/>
          <w:sz w:val="24"/>
          <w:szCs w:val="24"/>
        </w:rPr>
        <w:t xml:space="preserve"> </w:t>
      </w:r>
      <w:r w:rsidRPr="00C87812">
        <w:rPr>
          <w:rFonts w:ascii="Times New Roman" w:hAnsi="Times New Roman" w:cs="Times New Roman"/>
          <w:sz w:val="24"/>
          <w:szCs w:val="24"/>
        </w:rPr>
        <w:t xml:space="preserve">These are discussed mainly by documentary analysis of central bank publications </w:t>
      </w:r>
      <w:r w:rsidRPr="00523E1E">
        <w:rPr>
          <w:rFonts w:ascii="Times New Roman" w:hAnsi="Times New Roman" w:cs="Times New Roman"/>
          <w:sz w:val="24"/>
          <w:szCs w:val="24"/>
        </w:rPr>
        <w:t xml:space="preserve">and policy reports and peer-reviewed literature, in line with methodological strategies employed in </w:t>
      </w:r>
      <w:r w:rsidR="00523E1E" w:rsidRPr="00523E1E">
        <w:rPr>
          <w:rFonts w:ascii="Times New Roman" w:hAnsi="Times New Roman" w:cs="Times New Roman"/>
          <w:sz w:val="24"/>
          <w:szCs w:val="24"/>
        </w:rPr>
        <w:fldChar w:fldCharType="begin" w:fldLock="1"/>
      </w:r>
      <w:r w:rsidR="00523E1E">
        <w:rPr>
          <w:rFonts w:ascii="Times New Roman" w:hAnsi="Times New Roman" w:cs="Times New Roman"/>
          <w:sz w:val="24"/>
          <w:szCs w:val="24"/>
        </w:rPr>
        <w:instrText>ADDIN CSL_CITATION {"citationItems":[{"id":"ITEM-1","itemData":{"abstract":"This critical literature survey offers a comprehensive understanding of the key aspects and implications of central bank digital currencies (CBDCs) as a rapidly evolving area of academic and policy research. We review in depth the key discussion around motivations for the introduction of CBDCs and their design (looking at options of availability, provision, access, and supporting infrastructure). In addition, we review studies and arguments laid out on the implications that the introduction of CBDC may have for monetary policy and financial stability. Finally, we identify sub-areas of CBDC research that need further investigation in future research.","author":[{"dropping-particle":"","family":"Dionysopoulos","given":"Lambis","non-dropping-particle":"","parse-names":false,"suffix":""},{"dropping-particle":"","family":"Marra","given":"Miriam","non-dropping-particle":"","parse-names":false,"suffix":""},{"dropping-particle":"","family":"Urquhart","given":"Andrew","non-dropping-particle":"","parse-names":false,"suffix":""}],"container-title":"International Review of Financial Analysis","id":"ITEM-1","issued":{"date-parts":[["2023","10","11"]]},"title":"Central bank digital currencies: A critical review","type":"article-journal","volume":"91"},"uris":["http://www.mendeley.com/documents/?uuid=a5623d27-73bc-360f-855c-493f1b6c5d4e"]}],"mendeley":{"formattedCitation":"(Dionysopoulos et al., 2023)","plainTextFormattedCitation":"(Dionysopoulos et al., 2023)","previouslyFormattedCitation":"(Dionysopoulos et al., 2023)"},"properties":{"noteIndex":0},"schema":"https://github.com/citation-style-language/schema/raw/master/csl-citation.json"}</w:instrText>
      </w:r>
      <w:r w:rsidR="00523E1E" w:rsidRPr="00523E1E">
        <w:rPr>
          <w:rFonts w:ascii="Times New Roman" w:hAnsi="Times New Roman" w:cs="Times New Roman"/>
          <w:sz w:val="24"/>
          <w:szCs w:val="24"/>
        </w:rPr>
        <w:fldChar w:fldCharType="separate"/>
      </w:r>
      <w:r w:rsidR="00523E1E" w:rsidRPr="00523E1E">
        <w:rPr>
          <w:rFonts w:ascii="Times New Roman" w:hAnsi="Times New Roman" w:cs="Times New Roman"/>
          <w:noProof/>
          <w:sz w:val="24"/>
          <w:szCs w:val="24"/>
        </w:rPr>
        <w:t>(Dionysopoulos et al., 2023)</w:t>
      </w:r>
      <w:r w:rsidR="00523E1E" w:rsidRPr="00523E1E">
        <w:rPr>
          <w:rFonts w:ascii="Times New Roman" w:hAnsi="Times New Roman" w:cs="Times New Roman"/>
          <w:sz w:val="24"/>
          <w:szCs w:val="24"/>
        </w:rPr>
        <w:fldChar w:fldCharType="end"/>
      </w:r>
      <w:r w:rsidRPr="00523E1E">
        <w:rPr>
          <w:rFonts w:ascii="Times New Roman" w:hAnsi="Times New Roman" w:cs="Times New Roman"/>
          <w:sz w:val="24"/>
          <w:szCs w:val="24"/>
        </w:rPr>
        <w:t xml:space="preserve"> and other</w:t>
      </w:r>
      <w:r w:rsidRPr="00C87812">
        <w:rPr>
          <w:rFonts w:ascii="Times New Roman" w:hAnsi="Times New Roman" w:cs="Times New Roman"/>
          <w:sz w:val="24"/>
          <w:szCs w:val="24"/>
        </w:rPr>
        <w:t xml:space="preserve"> monetary institutional reform studies.</w:t>
      </w:r>
    </w:p>
    <w:p w14:paraId="3153694A" w14:textId="77777777" w:rsidR="002666B8" w:rsidRPr="003F79AD" w:rsidRDefault="002666B8" w:rsidP="001A2E76">
      <w:pPr>
        <w:spacing w:before="240" w:line="240" w:lineRule="auto"/>
        <w:jc w:val="both"/>
        <w:rPr>
          <w:rFonts w:ascii="Times New Roman" w:hAnsi="Times New Roman" w:cs="Times New Roman"/>
          <w:i/>
          <w:iCs/>
          <w:sz w:val="24"/>
          <w:szCs w:val="24"/>
        </w:rPr>
      </w:pPr>
      <w:r w:rsidRPr="003F79AD">
        <w:rPr>
          <w:rFonts w:ascii="Times New Roman" w:hAnsi="Times New Roman" w:cs="Times New Roman"/>
          <w:i/>
          <w:iCs/>
          <w:sz w:val="24"/>
          <w:szCs w:val="24"/>
        </w:rPr>
        <w:t>3.3 Dynamic Stock–Flow Consistent (SFC) Modeling</w:t>
      </w:r>
    </w:p>
    <w:p w14:paraId="32DCD96F" w14:textId="1312A2C0" w:rsidR="003207C2" w:rsidRPr="0058052D" w:rsidRDefault="0058052D" w:rsidP="001A2E76">
      <w:pPr>
        <w:spacing w:before="240" w:line="240" w:lineRule="auto"/>
        <w:jc w:val="both"/>
        <w:rPr>
          <w:rFonts w:ascii="Times New Roman" w:hAnsi="Times New Roman" w:cs="Times New Roman"/>
          <w:sz w:val="24"/>
          <w:szCs w:val="24"/>
        </w:rPr>
      </w:pPr>
      <w:r w:rsidRPr="0058052D">
        <w:rPr>
          <w:rFonts w:ascii="Times New Roman" w:hAnsi="Times New Roman" w:cs="Times New Roman"/>
          <w:sz w:val="24"/>
          <w:szCs w:val="24"/>
        </w:rPr>
        <w:t>Th</w:t>
      </w:r>
      <w:r>
        <w:rPr>
          <w:rFonts w:ascii="Times New Roman" w:hAnsi="Times New Roman" w:cs="Times New Roman"/>
          <w:sz w:val="24"/>
          <w:szCs w:val="24"/>
        </w:rPr>
        <w:t>is</w:t>
      </w:r>
      <w:r w:rsidRPr="0058052D">
        <w:rPr>
          <w:rFonts w:ascii="Times New Roman" w:hAnsi="Times New Roman" w:cs="Times New Roman"/>
          <w:sz w:val="24"/>
          <w:szCs w:val="24"/>
        </w:rPr>
        <w:t xml:space="preserve"> </w:t>
      </w:r>
      <w:r>
        <w:rPr>
          <w:rFonts w:ascii="Times New Roman" w:hAnsi="Times New Roman" w:cs="Times New Roman"/>
          <w:sz w:val="24"/>
          <w:szCs w:val="24"/>
        </w:rPr>
        <w:t>study</w:t>
      </w:r>
      <w:r w:rsidRPr="0058052D">
        <w:rPr>
          <w:rFonts w:ascii="Times New Roman" w:hAnsi="Times New Roman" w:cs="Times New Roman"/>
          <w:sz w:val="24"/>
          <w:szCs w:val="24"/>
        </w:rPr>
        <w:t xml:space="preserve"> adheres to a conceptual instead of predictive Stock-Flow Consistent (SFC) framework in order to explain the accounting differences between the existing fractional-reserve system in Pakistan and a hypothetical full-reserve system based on the sovereign-money system. The SFC structure is applied to each of the monetary regimes using the frameworks of </w:t>
      </w:r>
      <w:r w:rsidR="00804F5B">
        <w:rPr>
          <w:rFonts w:ascii="Times New Roman" w:hAnsi="Times New Roman" w:cs="Times New Roman"/>
          <w:sz w:val="24"/>
          <w:szCs w:val="24"/>
        </w:rPr>
        <w:fldChar w:fldCharType="begin" w:fldLock="1"/>
      </w:r>
      <w:r w:rsidR="00804F5B">
        <w:rPr>
          <w:rFonts w:ascii="Times New Roman" w:hAnsi="Times New Roman" w:cs="Times New Roman"/>
          <w:sz w:val="24"/>
          <w:szCs w:val="24"/>
        </w:rPr>
        <w:instrText>ADDIN CSL_CITATION {"citationItems":[{"id":"ITEM-1","itemData":{"ISBN":"9788449048852","abstract":"Esta tesis tiene como objetivo contribuir al debate, en el mundo académico y más allá, sobre los argumentos de ciertas alternativas a los sistemas monetarios de las economías capitalistas existentes. Son investigadas dos clases de organización monetaria alternativa: las monedas locales (monedas comunitarias) y la banca de reserva 100% (C-PeRB). El presente trabajo se centra principalmente en la evaluación de su relevancia contemporánea para mejoramientos, potencialmente amplios, de la equidad social y la sostenibilidad ecológica. El enfoque metodológico es la interdisciplinariedad orientada al estudio de problemas. El capítulo introductorio argumenta que hay mucho margen para el desarrollo de las perspectivas de la economía ecológica sobre las alternativas al dinero de siempre. Se ofrece una breve exposición de la contribución de Frederick Soddy a la economía ecológica del dinero, con el argumento de que las futuras investigaciones en esta línea deberían dar más consideración a la política del dinero. El capítulo 2 presenta el movimiento decrecentista y su promoción de las monedas locales como herramientas para avanzar el decrecimiento socialmente equitativo y ecológicamente sostenible. El capítulo revisa la investigación académica sobre cuatro tipos comunes de moneda local - LETS, bancos de tiempo, monedas HOUR, y monedas locales convertibles - para evaluar su rendimiento con respecto a cuatro criterios relacionados con el decrecimiento: la generación de comunidades, la promoción de valores alternativos en el intercambio económico, la facilitación de medios de vida alternativos, y la relocalización económica. Llegamos a la conclusión que la investigación existente constituye una base muy débil para abogar por las redes de moneda local como herramientas para una transición decrecentista intencionada, es decir, una salida intencional de la sociedad basada en el crecimiento para prevenir la continuación de la destrucción ambiental y el sufrimiento humano. El capítulo desarrolla la aplicación a este tipo de redes de la crítica marxista al socialismo utópico. Los capítulos 3-5 presentan un estudio de caso del experimento con las moneda comunales en Venezuela, que es único en el mundo como una iniciativa del gobierno central. Dada la falta de éxito del experimento, consideramos su fundación en un optimismo cultural fuerte y en conceptos confusos sobre la naturaleza y los orígenes del dinero. Argumentamos que el apoyo gubernamental ha tenido sus pros y sus co…","author":[{"dropping-particle":"","family":"Dittmer","given":"Kristofer","non-dropping-particle":"","parse-names":false,"suffix":""},{"dropping-particle":"","family":"Lemkow","given":"Louis","non-dropping-particle":"","parse-names":false,"suffix":""}],"id":"ITEM-1","issued":{"date-parts":[["2015"]]},"publisher":"Universitat Autònoma de Barcelona,","title":"Alternatives to money-as-usual in ecological economics: a study of local currencies and 100 percent reserve banking","type":"article-journal"},"uris":["http://www.mendeley.com/documents/?uuid=9595489f-a233-326c-9c62-a6841de4912d"]},{"id":"ITEM-2","itemData":{"DOI":"10.1016/J.STRUECO.2021.08.009","ISSN":"0954-349X","abstract":"The purpose of the paper is to provide a comprehensive comparison of fiscal and monetary policies with different forms of public expenditure, including a job guarantee (JG) plan. Our key findings are as follows. First, expansionary fiscal policies (including JG) are effective in reflating the economy independently of the way in which they are funded. However, deficit monetization should be expected to be more effective in the short run, while bill-funded government spending is likely to be more effective in the long run. Second, expansionary monetary policies are reflationary in the short run. However, they may have deflationary effects on the economy in the medium to long run. Third, a lower reserve requirement can reflate the economy, but the expected impact is rather weak. Fourth, non-selective tax cuts are effective, but less effective than government spending. Fifth, the impact on the price level is harder to predict than the impact on output. Sixth, conventional spending outclasses JG in terms of GDP growth and inflation rate control, but the JG is a better option in terms of employment results and income distribution.","author":[{"dropping-particle":"","family":"Sawyer","given":"Malcolm","non-dropping-particle":"","parse-names":false,"suffix":""},{"dropping-particle":"","family":"Veronese Passarella","given":"Marco","non-dropping-particle":"","parse-names":false,"suffix":""}],"container-title":"Structural Change and Economic Dynamics","id":"ITEM-2","issued":{"date-parts":[["2021","12","1"]]},"page":"384-404","publisher":"North-Holland","title":"A Comprehensive Comparison of Fiscal and Monetary Policies: A Comparative Dynamics Approach","type":"article-journal","volume":"59"},"uris":["http://www.mendeley.com/documents/?uuid=881ed8f7-78d6-3d0b-9689-0c90ee82f2d4"]}],"mendeley":{"formattedCitation":"(Dittmer &amp; Lemkow, 2015; Sawyer &amp; Veronese Passarella, 2021)","plainTextFormattedCitation":"(Dittmer &amp; Lemkow, 2015; Sawyer &amp; Veronese Passarella, 2021)","previouslyFormattedCitation":"(Dittmer &amp; Lemkow, 2015; Sawyer &amp; Veronese Passarella, 2021)"},"properties":{"noteIndex":0},"schema":"https://github.com/citation-style-language/schema/raw/master/csl-citation.json"}</w:instrText>
      </w:r>
      <w:r w:rsidR="00804F5B">
        <w:rPr>
          <w:rFonts w:ascii="Times New Roman" w:hAnsi="Times New Roman" w:cs="Times New Roman"/>
          <w:sz w:val="24"/>
          <w:szCs w:val="24"/>
        </w:rPr>
        <w:fldChar w:fldCharType="separate"/>
      </w:r>
      <w:r w:rsidR="00804F5B" w:rsidRPr="00804F5B">
        <w:rPr>
          <w:rFonts w:ascii="Times New Roman" w:hAnsi="Times New Roman" w:cs="Times New Roman"/>
          <w:noProof/>
          <w:sz w:val="24"/>
          <w:szCs w:val="24"/>
        </w:rPr>
        <w:t>(Dittmer &amp; Lemkow, 2015; Sawyer &amp; Veronese Passarella, 2021)</w:t>
      </w:r>
      <w:r w:rsidR="00804F5B">
        <w:rPr>
          <w:rFonts w:ascii="Times New Roman" w:hAnsi="Times New Roman" w:cs="Times New Roman"/>
          <w:sz w:val="24"/>
          <w:szCs w:val="24"/>
        </w:rPr>
        <w:fldChar w:fldCharType="end"/>
      </w:r>
      <w:r w:rsidRPr="0058052D">
        <w:rPr>
          <w:rFonts w:ascii="Times New Roman" w:hAnsi="Times New Roman" w:cs="Times New Roman"/>
          <w:sz w:val="24"/>
          <w:szCs w:val="24"/>
        </w:rPr>
        <w:t xml:space="preserve"> to describe the interaction of government expenditure, money creation, public debt, and seigniorage. A deficit by the government in a fractional-reserve system has a mechanical effect of converting government expenditure into public debt since it funds that expenditure by issuing interest-paying bonds. In contrast, in a sovereign-money system the same spending can be funded without issuing new money in the market, but by issuing new money directly by the state, so seigniorage is received by the state instead of commercial banks, which will lead to less structural dependence on debt. This </w:t>
      </w:r>
      <w:r w:rsidRPr="0058052D">
        <w:rPr>
          <w:rFonts w:ascii="Times New Roman" w:hAnsi="Times New Roman" w:cs="Times New Roman"/>
          <w:sz w:val="24"/>
          <w:szCs w:val="24"/>
        </w:rPr>
        <w:lastRenderedPageBreak/>
        <w:t xml:space="preserve">simplified SFC representation is not aimed at giving numerical forecasts or deterministic paths of inflation but rather offers a logically consistent way of understanding the </w:t>
      </w:r>
      <w:r w:rsidRPr="00804F5B">
        <w:rPr>
          <w:rFonts w:ascii="Times New Roman" w:hAnsi="Times New Roman" w:cs="Times New Roman"/>
          <w:sz w:val="24"/>
          <w:szCs w:val="24"/>
        </w:rPr>
        <w:t>difference of direction in the monetary and fiscal dynamics between the two systems, as advised by IMF (2021) on</w:t>
      </w:r>
      <w:r w:rsidRPr="0058052D">
        <w:rPr>
          <w:rFonts w:ascii="Times New Roman" w:hAnsi="Times New Roman" w:cs="Times New Roman"/>
          <w:sz w:val="24"/>
          <w:szCs w:val="24"/>
        </w:rPr>
        <w:t xml:space="preserve"> the interpretation of theoretical monetary models.</w:t>
      </w:r>
    </w:p>
    <w:p w14:paraId="070E432F" w14:textId="77777777" w:rsidR="002666B8" w:rsidRPr="003F79AD" w:rsidRDefault="002666B8" w:rsidP="001A2E76">
      <w:pPr>
        <w:spacing w:before="240" w:line="240" w:lineRule="auto"/>
        <w:jc w:val="both"/>
        <w:rPr>
          <w:rFonts w:ascii="Times New Roman" w:hAnsi="Times New Roman" w:cs="Times New Roman"/>
          <w:i/>
          <w:iCs/>
          <w:sz w:val="24"/>
          <w:szCs w:val="24"/>
        </w:rPr>
      </w:pPr>
      <w:r w:rsidRPr="003F79AD">
        <w:rPr>
          <w:rFonts w:ascii="Times New Roman" w:hAnsi="Times New Roman" w:cs="Times New Roman"/>
          <w:i/>
          <w:iCs/>
          <w:sz w:val="24"/>
          <w:szCs w:val="24"/>
        </w:rPr>
        <w:t>3.4 Integration with Policy Tools</w:t>
      </w:r>
    </w:p>
    <w:p w14:paraId="4DD2A04F" w14:textId="77777777" w:rsidR="008309CA" w:rsidRPr="008309CA" w:rsidRDefault="008309CA" w:rsidP="001A2E76">
      <w:pPr>
        <w:spacing w:before="240" w:line="240" w:lineRule="auto"/>
        <w:jc w:val="both"/>
        <w:rPr>
          <w:rFonts w:ascii="Times New Roman" w:hAnsi="Times New Roman" w:cs="Times New Roman"/>
          <w:sz w:val="24"/>
          <w:szCs w:val="24"/>
        </w:rPr>
      </w:pPr>
      <w:r w:rsidRPr="008309CA">
        <w:rPr>
          <w:rFonts w:ascii="Times New Roman" w:hAnsi="Times New Roman" w:cs="Times New Roman"/>
          <w:sz w:val="24"/>
          <w:szCs w:val="24"/>
        </w:rPr>
        <w:t>The proposed framework of full-reserve, interest-free approach needs to be assessed in combination with the policy instruments that can practically support its implementation. In this study, policy integration is studied in a conceptual rather than an operational design. The focus is still on instruments that have already been tested at the global level and are compatible with sovereign-money systems.</w:t>
      </w:r>
    </w:p>
    <w:p w14:paraId="7065F2D2" w14:textId="42BC3B2B" w:rsidR="001C6E07" w:rsidRPr="001C6E07" w:rsidRDefault="00C355E8" w:rsidP="001A2E76">
      <w:pPr>
        <w:spacing w:before="240" w:line="240" w:lineRule="auto"/>
        <w:jc w:val="both"/>
        <w:rPr>
          <w:rFonts w:ascii="Times New Roman" w:hAnsi="Times New Roman" w:cs="Times New Roman"/>
          <w:sz w:val="24"/>
          <w:szCs w:val="24"/>
        </w:rPr>
      </w:pPr>
      <w:r w:rsidRPr="00C355E8">
        <w:rPr>
          <w:rFonts w:ascii="Times New Roman" w:hAnsi="Times New Roman" w:cs="Times New Roman"/>
          <w:sz w:val="24"/>
          <w:szCs w:val="24"/>
        </w:rPr>
        <w:t>First, central bank digital currencies (CBDCs) are considered as they are the most realistic mechanism in which governments can issue sovereign money directly to households and firms.</w:t>
      </w:r>
      <w:r w:rsidR="001C6E07">
        <w:rPr>
          <w:rFonts w:ascii="Times New Roman" w:hAnsi="Times New Roman" w:cs="Times New Roman"/>
          <w:sz w:val="24"/>
          <w:szCs w:val="24"/>
        </w:rPr>
        <w:t xml:space="preserve"> </w:t>
      </w:r>
      <w:r w:rsidR="001C6E07" w:rsidRPr="001C6E07">
        <w:rPr>
          <w:rFonts w:ascii="Times New Roman" w:hAnsi="Times New Roman" w:cs="Times New Roman"/>
          <w:sz w:val="24"/>
          <w:szCs w:val="24"/>
        </w:rPr>
        <w:t>The empirical evidence from existing CBDC (CBDC) pilots</w:t>
      </w:r>
      <w:r w:rsidR="00DC25BE">
        <w:rPr>
          <w:rFonts w:ascii="Times New Roman" w:hAnsi="Times New Roman" w:cs="Times New Roman"/>
          <w:sz w:val="24"/>
          <w:szCs w:val="24"/>
        </w:rPr>
        <w:t xml:space="preserve">, </w:t>
      </w:r>
      <w:r w:rsidR="001C6E07" w:rsidRPr="001C6E07">
        <w:rPr>
          <w:rFonts w:ascii="Times New Roman" w:hAnsi="Times New Roman" w:cs="Times New Roman"/>
          <w:sz w:val="24"/>
          <w:szCs w:val="24"/>
        </w:rPr>
        <w:t xml:space="preserve">most notably in China, the Bahamas and Nigeria - is showing that digital sovereign money can help to strengthen fiscal transmission, lower transactional friction, and improve monetary control without requiring private credit expansion </w:t>
      </w:r>
      <w:r w:rsidR="00804F5B">
        <w:rPr>
          <w:rFonts w:ascii="Times New Roman" w:hAnsi="Times New Roman" w:cs="Times New Roman"/>
          <w:sz w:val="24"/>
          <w:szCs w:val="24"/>
        </w:rPr>
        <w:fldChar w:fldCharType="begin" w:fldLock="1"/>
      </w:r>
      <w:r w:rsidR="00804F5B">
        <w:rPr>
          <w:rFonts w:ascii="Times New Roman" w:hAnsi="Times New Roman" w:cs="Times New Roman"/>
          <w:sz w:val="24"/>
          <w:szCs w:val="24"/>
        </w:rPr>
        <w:instrText>ADDIN CSL_CITATION {"citationItems":[{"id":"ITEM-1","itemData":{"abstract":"This paper provides a structured overview of the burgeoning literature on the economics of CBDC. We document the economic forces that shape the rise of digital money and review motives for the issuance of CBDC. We then study the implications for the financial system and discuss of a number of policy issues and challenges. While the academic literature broadly echoes policy makers' concerns about bank disintermediation and financial stability risks, it also provides conditions under which such adverse effects may not materialize. We also point to several knowledge gaps that merit further work, including data privacy and the study of end‐user preferences for attributes of digital payment methods.","author":[{"dropping-particle":"","family":"Ahnert","given":"Toni","non-dropping-particle":"","parse-names":false,"suffix":""},{"dropping-particle":"","family":"Assenmacher","given":"Katrin","non-dropping-particle":"","parse-names":false,"suffix":""},{"dropping-particle":"","family":"Hoffmann","given":"Peter","non-dropping-particle":"","parse-names":false,"suffix":""},{"dropping-particle":"","family":"Leonello","given":"Agnese","non-dropping-particle":"","parse-names":false,"suffix":""},{"dropping-particle":"","family":"Monnet","given":"Cyril","non-dropping-particle":"","parse-names":false,"suffix":""},{"dropping-particle":"","family":"Porcellacchia","given":"Davide","non-dropping-particle":"","parse-names":false,"suffix":""}],"container-title":"SSRN Electronic Journal","id":"ITEM-1","issued":{"date-parts":[["2023","1","1"]]},"title":"The Economics of Central Bank Digital Currency","type":"report"},"uris":["http://www.mendeley.com/documents/?uuid=00a4695a-ea97-301c-b550-80b1f9ac72b3"]},{"id":"ITEM-2","itemData":{"DOI":"10.1016/J.RIBAF.2022.101736","ISSN":"0275-5319","abstract":"Central bank digital currencies are engendering concern. As understanding of CBDCs is very limited, further research is warranted which will focus not only on the economic rationale of CBDCs but also on how they will impact monetary policy transmission, financial and price stability, inflation targeting, unconventional monetary instruments, central banks as lenders of last resort, and provision of forward guidance. There are also unsettled questions regarding ethics, privacy and environmental and technological constraints. With the imminent implementation of CBDCs, it is vital to explore these issues.","author":[{"dropping-particle":"","family":"Elsayed","given":"Ahmed H.","non-dropping-particle":"","parse-names":false,"suffix":""},{"dropping-particle":"","family":"Nasir","given":"Muhammad Ali","non-dropping-particle":"","parse-names":false,"suffix":""}],"container-title":"Research in International Business and Finance","id":"ITEM-2","issued":{"date-parts":[["2022","12","1"]]},"page":"101736","publisher":"Elsevier","title":"Central bank digital currencies: An agenda for future research","type":"article-journal","volume":"62"},"uris":["http://www.mendeley.com/documents/?uuid=2e71b081-b4fe-3d0e-b026-dbee10fb060d"]}],"mendeley":{"formattedCitation":"(Ahnert et al., 2023; Elsayed &amp; Nasir, 2022)","plainTextFormattedCitation":"(Ahnert et al., 2023; Elsayed &amp; Nasir, 2022)","previouslyFormattedCitation":"(Ahnert et al., 2023; Elsayed &amp; Nasir, 2022)"},"properties":{"noteIndex":0},"schema":"https://github.com/citation-style-language/schema/raw/master/csl-citation.json"}</w:instrText>
      </w:r>
      <w:r w:rsidR="00804F5B">
        <w:rPr>
          <w:rFonts w:ascii="Times New Roman" w:hAnsi="Times New Roman" w:cs="Times New Roman"/>
          <w:sz w:val="24"/>
          <w:szCs w:val="24"/>
        </w:rPr>
        <w:fldChar w:fldCharType="separate"/>
      </w:r>
      <w:r w:rsidR="00804F5B" w:rsidRPr="00804F5B">
        <w:rPr>
          <w:rFonts w:ascii="Times New Roman" w:hAnsi="Times New Roman" w:cs="Times New Roman"/>
          <w:noProof/>
          <w:sz w:val="24"/>
          <w:szCs w:val="24"/>
        </w:rPr>
        <w:t>(Ahnert et al., 2023; Elsayed &amp; Nasir, 2022)</w:t>
      </w:r>
      <w:r w:rsidR="00804F5B">
        <w:rPr>
          <w:rFonts w:ascii="Times New Roman" w:hAnsi="Times New Roman" w:cs="Times New Roman"/>
          <w:sz w:val="24"/>
          <w:szCs w:val="24"/>
        </w:rPr>
        <w:fldChar w:fldCharType="end"/>
      </w:r>
      <w:r w:rsidR="00804F5B">
        <w:rPr>
          <w:rFonts w:ascii="Times New Roman" w:hAnsi="Times New Roman" w:cs="Times New Roman"/>
          <w:sz w:val="24"/>
          <w:szCs w:val="24"/>
        </w:rPr>
        <w:t xml:space="preserve">. </w:t>
      </w:r>
      <w:r w:rsidR="001C6E07" w:rsidRPr="001C6E07">
        <w:rPr>
          <w:rFonts w:ascii="Times New Roman" w:hAnsi="Times New Roman" w:cs="Times New Roman"/>
          <w:sz w:val="24"/>
          <w:szCs w:val="24"/>
        </w:rPr>
        <w:t>Within a framework of full reserve banking, CBDCs help to make the issuance of money transparent and help bring monetary expansion and productive spending better into line.</w:t>
      </w:r>
    </w:p>
    <w:p w14:paraId="1AF80CEF" w14:textId="1871CEBC" w:rsidR="007240A0" w:rsidRPr="007240A0" w:rsidRDefault="007240A0" w:rsidP="001A2E76">
      <w:pPr>
        <w:spacing w:before="240" w:line="240" w:lineRule="auto"/>
        <w:jc w:val="both"/>
        <w:rPr>
          <w:rFonts w:ascii="Times New Roman" w:hAnsi="Times New Roman" w:cs="Times New Roman"/>
          <w:sz w:val="24"/>
          <w:szCs w:val="24"/>
        </w:rPr>
      </w:pPr>
      <w:r w:rsidRPr="007240A0">
        <w:rPr>
          <w:rFonts w:ascii="Times New Roman" w:hAnsi="Times New Roman" w:cs="Times New Roman"/>
          <w:sz w:val="24"/>
          <w:szCs w:val="24"/>
        </w:rPr>
        <w:t xml:space="preserve">Second, policy coordination between the treasury and central bank becomes very critical under sovereign-money arrangements. Historical examples (e.g. Canada 1935-1975) show that monetary financing can be maintained with appropriate rules between money issuing and economic capacity and investment priorities </w:t>
      </w:r>
      <w:r w:rsidR="00804F5B">
        <w:rPr>
          <w:rFonts w:ascii="Times New Roman" w:hAnsi="Times New Roman" w:cs="Times New Roman"/>
          <w:sz w:val="24"/>
          <w:szCs w:val="24"/>
        </w:rPr>
        <w:fldChar w:fldCharType="begin" w:fldLock="1"/>
      </w:r>
      <w:r w:rsidR="00D70F45">
        <w:rPr>
          <w:rFonts w:ascii="Times New Roman" w:hAnsi="Times New Roman" w:cs="Times New Roman"/>
          <w:sz w:val="24"/>
          <w:szCs w:val="24"/>
        </w:rPr>
        <w:instrText>ADDIN CSL_CITATION {"citationItems":[{"id":"ITEM-1","itemData":{"DOI":"10.2139/SSRN.2679090","abstract":"Historically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Journal","id":"ITEM-1","issued":{"date-parts":[["2015","10","23"]]},"number-of-pages":"52","publisher":"Elsevier BV","title":"Is Monetary Financing Inflationary? A Case Study of the Canadian Economy, 1935-75","type":"report"},"uris":["http://www.mendeley.com/documents/?uuid=804accf2-9032-3758-bcde-f1836393fa91"]}],"mendeley":{"formattedCitation":"(Ryan-Collins, 2015)","plainTextFormattedCitation":"(Ryan-Collins, 2015)","previouslyFormattedCitation":"(Ryan-Collins, 2015)"},"properties":{"noteIndex":0},"schema":"https://github.com/citation-style-language/schema/raw/master/csl-citation.json"}</w:instrText>
      </w:r>
      <w:r w:rsidR="00804F5B">
        <w:rPr>
          <w:rFonts w:ascii="Times New Roman" w:hAnsi="Times New Roman" w:cs="Times New Roman"/>
          <w:sz w:val="24"/>
          <w:szCs w:val="24"/>
        </w:rPr>
        <w:fldChar w:fldCharType="separate"/>
      </w:r>
      <w:r w:rsidR="00804F5B" w:rsidRPr="00804F5B">
        <w:rPr>
          <w:rFonts w:ascii="Times New Roman" w:hAnsi="Times New Roman" w:cs="Times New Roman"/>
          <w:noProof/>
          <w:sz w:val="24"/>
          <w:szCs w:val="24"/>
        </w:rPr>
        <w:t>(Ryan-Collins, 2015)</w:t>
      </w:r>
      <w:r w:rsidR="00804F5B">
        <w:rPr>
          <w:rFonts w:ascii="Times New Roman" w:hAnsi="Times New Roman" w:cs="Times New Roman"/>
          <w:sz w:val="24"/>
          <w:szCs w:val="24"/>
        </w:rPr>
        <w:fldChar w:fldCharType="end"/>
      </w:r>
      <w:r w:rsidRPr="007240A0">
        <w:rPr>
          <w:rFonts w:ascii="Times New Roman" w:hAnsi="Times New Roman" w:cs="Times New Roman"/>
          <w:sz w:val="24"/>
          <w:szCs w:val="24"/>
        </w:rPr>
        <w:t xml:space="preserve">. Therefore, this analysis takes fiscal-monetary coordination as a structural need, not as a tool of choice. </w:t>
      </w:r>
    </w:p>
    <w:p w14:paraId="61012FCF" w14:textId="5ED40E46" w:rsidR="007240A0" w:rsidRPr="007240A0" w:rsidRDefault="007240A0" w:rsidP="001A2E76">
      <w:pPr>
        <w:spacing w:before="240" w:line="240" w:lineRule="auto"/>
        <w:jc w:val="both"/>
        <w:rPr>
          <w:rFonts w:ascii="Times New Roman" w:hAnsi="Times New Roman" w:cs="Times New Roman"/>
          <w:sz w:val="24"/>
          <w:szCs w:val="24"/>
        </w:rPr>
      </w:pPr>
      <w:r w:rsidRPr="007240A0">
        <w:rPr>
          <w:rFonts w:ascii="Times New Roman" w:hAnsi="Times New Roman" w:cs="Times New Roman"/>
          <w:sz w:val="24"/>
          <w:szCs w:val="24"/>
        </w:rPr>
        <w:t xml:space="preserve">Finally, the paper acknowledges that prudential regulation is of key importance even in a full-reserve system. While private banks would not be creating money anymore, they would remain intermediary for investment finance. This includes revised liquidity requirements, deposit protection regimes, and mechanisms to ensure that flows of credit are productive matters that have been pointed out in sovereign money literature </w:t>
      </w:r>
      <w:r w:rsidR="00D70F45">
        <w:rPr>
          <w:rFonts w:ascii="Times New Roman" w:hAnsi="Times New Roman" w:cs="Times New Roman"/>
          <w:sz w:val="24"/>
          <w:szCs w:val="24"/>
        </w:rPr>
        <w:fldChar w:fldCharType="begin" w:fldLock="1"/>
      </w:r>
      <w:r w:rsidR="00D70F45">
        <w:rPr>
          <w:rFonts w:ascii="Times New Roman" w:hAnsi="Times New Roman" w:cs="Times New Roman"/>
          <w:sz w:val="24"/>
          <w:szCs w:val="24"/>
        </w:rPr>
        <w:instrText>ADDIN CSL_CITATION {"citationItems":[{"id":"ITEM-1","itemData":{"author":[{"dropping-particle":"","family":"Benes","given":"MJ","non-dropping-particle":"","parse-names":false,"suffix":""},{"dropping-particle":"","family":"Kumhof","given":"MM","non-dropping-particle":"","parse-names":false,"suffix":""}],"id":"ITEM-1","issued":{"date-parts":[["2012"]]},"publisher":"International Monetary Fund","title":"The Chicago plan revisited","type":"book"},"uris":["http://www.mendeley.com/documents/?uuid=247a3f89-3605-4ed6-9895-506a6fcdc622"]},{"id":"ITEM-2","itemData":{"DOI":"10.2139/SSRN.4890683","author":[{"dropping-particle":"","family":"Berkeley","given":"Andrew","non-dropping-particle":"","parse-names":false,"suffix":""},{"dropping-particle":"","family":"Ryan-Collins","given":"Josh","non-dropping-particle":"","parse-names":false,"suffix":""},{"dropping-particle":"","family":"Ruge","given":"Asker Voldsgaard","non-dropping-particle":"","parse-names":false,"suffix":""},{"dropping-particle":"","family":"Tye","given":"Richard","non-dropping-particle":"","parse-names":false,"suffix":""},{"dropping-particle":"","family":"Wilson","given":"Neil","non-dropping-particle":"","parse-names":false,"suffix":""}],"container-title":"SSRN Electronic Journal","id":"ITEM-2","issued":{"date-parts":[["2024","1","26"]]},"publisher":"Elsevier BV","title":"The self-financing state: an institutional analysis of government expenditure, revenue collection and debt issuance operations in the United Kingdom","type":"article-journal"},"uris":["http://www.mendeley.com/documents/?uuid=db306c09-685b-3c83-bea4-5796869264e3"]}],"mendeley":{"formattedCitation":"(Benes &amp; Kumhof, 2012; Berkeley et al., 2024)","plainTextFormattedCitation":"(Benes &amp; Kumhof, 2012; Berkeley et al., 2024)","previouslyFormattedCitation":"(Benes &amp; Kumhof, 2012; Berkeley et al., 2024)"},"properties":{"noteIndex":0},"schema":"https://github.com/citation-style-language/schema/raw/master/csl-citation.json"}</w:instrText>
      </w:r>
      <w:r w:rsidR="00D70F45">
        <w:rPr>
          <w:rFonts w:ascii="Times New Roman" w:hAnsi="Times New Roman" w:cs="Times New Roman"/>
          <w:sz w:val="24"/>
          <w:szCs w:val="24"/>
        </w:rPr>
        <w:fldChar w:fldCharType="separate"/>
      </w:r>
      <w:r w:rsidR="00D70F45" w:rsidRPr="00D70F45">
        <w:rPr>
          <w:rFonts w:ascii="Times New Roman" w:hAnsi="Times New Roman" w:cs="Times New Roman"/>
          <w:noProof/>
          <w:sz w:val="24"/>
          <w:szCs w:val="24"/>
        </w:rPr>
        <w:t>(Benes &amp; Kumhof, 2012; Berkeley et al., 2024)</w:t>
      </w:r>
      <w:r w:rsidR="00D70F45">
        <w:rPr>
          <w:rFonts w:ascii="Times New Roman" w:hAnsi="Times New Roman" w:cs="Times New Roman"/>
          <w:sz w:val="24"/>
          <w:szCs w:val="24"/>
        </w:rPr>
        <w:fldChar w:fldCharType="end"/>
      </w:r>
      <w:r w:rsidR="00D70F45">
        <w:rPr>
          <w:rFonts w:ascii="Times New Roman" w:hAnsi="Times New Roman" w:cs="Times New Roman"/>
          <w:sz w:val="24"/>
          <w:szCs w:val="24"/>
        </w:rPr>
        <w:t>.</w:t>
      </w:r>
    </w:p>
    <w:p w14:paraId="233139C5" w14:textId="77777777" w:rsidR="007240A0" w:rsidRPr="008D3237" w:rsidRDefault="007240A0" w:rsidP="001A2E76">
      <w:pPr>
        <w:spacing w:before="240" w:line="240" w:lineRule="auto"/>
        <w:jc w:val="both"/>
        <w:rPr>
          <w:rFonts w:ascii="Times New Roman" w:hAnsi="Times New Roman" w:cs="Times New Roman"/>
          <w:sz w:val="24"/>
          <w:szCs w:val="24"/>
        </w:rPr>
      </w:pPr>
      <w:r w:rsidRPr="008D3237">
        <w:rPr>
          <w:rFonts w:ascii="Times New Roman" w:hAnsi="Times New Roman" w:cs="Times New Roman"/>
          <w:sz w:val="24"/>
          <w:szCs w:val="24"/>
        </w:rPr>
        <w:t>Together, these policy tools are reviewed conceptually to illustrate how such a transition towards the creation of a sovereign system that would be interest free might be supported within realistic institutional boundaries.</w:t>
      </w:r>
    </w:p>
    <w:p w14:paraId="6E9BAED9" w14:textId="50E0AE9A" w:rsidR="002666B8" w:rsidRPr="003F79AD" w:rsidRDefault="002666B8" w:rsidP="001A2E76">
      <w:pPr>
        <w:spacing w:before="240" w:line="240" w:lineRule="auto"/>
        <w:jc w:val="both"/>
        <w:rPr>
          <w:rFonts w:ascii="Times New Roman" w:hAnsi="Times New Roman" w:cs="Times New Roman"/>
          <w:i/>
          <w:iCs/>
          <w:sz w:val="24"/>
          <w:szCs w:val="24"/>
        </w:rPr>
      </w:pPr>
      <w:r w:rsidRPr="003F79AD">
        <w:rPr>
          <w:rFonts w:ascii="Times New Roman" w:hAnsi="Times New Roman" w:cs="Times New Roman"/>
          <w:i/>
          <w:iCs/>
          <w:sz w:val="24"/>
          <w:szCs w:val="24"/>
        </w:rPr>
        <w:t>3.5 Data Sources and Reliability</w:t>
      </w:r>
    </w:p>
    <w:p w14:paraId="22B3D142" w14:textId="77777777" w:rsidR="00B316A4" w:rsidRPr="00B316A4" w:rsidRDefault="00B316A4" w:rsidP="001A2E76">
      <w:pPr>
        <w:spacing w:before="240" w:line="240" w:lineRule="auto"/>
        <w:jc w:val="both"/>
        <w:rPr>
          <w:rFonts w:ascii="Times New Roman" w:hAnsi="Times New Roman" w:cs="Times New Roman"/>
          <w:sz w:val="24"/>
          <w:szCs w:val="24"/>
        </w:rPr>
      </w:pPr>
      <w:r w:rsidRPr="00B316A4">
        <w:rPr>
          <w:rFonts w:ascii="Times New Roman" w:hAnsi="Times New Roman" w:cs="Times New Roman"/>
          <w:sz w:val="24"/>
          <w:szCs w:val="24"/>
        </w:rPr>
        <w:t xml:space="preserve">The analysis is based on secondary data and peer-reviewed materials only, which aligns with the conceptual methodology of the study. The macroeconomic indicators include government spending, inflation, and government debt which are obtained using publicly accessible datasets of the State Bank of Pakistan (SBP), Pakistan Bureau of Statistics (PBS), and the International Monetary Fund (IMF). These give the empirical base on which the fiscal position of Pakistan can be compared to the alternative monetary structures. </w:t>
      </w:r>
    </w:p>
    <w:p w14:paraId="22E01FD9" w14:textId="5CFD120A" w:rsidR="00B316A4" w:rsidRPr="00B316A4" w:rsidRDefault="00B316A4" w:rsidP="001A2E76">
      <w:pPr>
        <w:spacing w:before="240" w:line="240" w:lineRule="auto"/>
        <w:jc w:val="both"/>
        <w:rPr>
          <w:rFonts w:ascii="Times New Roman" w:hAnsi="Times New Roman" w:cs="Times New Roman"/>
          <w:sz w:val="24"/>
          <w:szCs w:val="24"/>
        </w:rPr>
      </w:pPr>
      <w:r w:rsidRPr="00B316A4">
        <w:rPr>
          <w:rFonts w:ascii="Times New Roman" w:hAnsi="Times New Roman" w:cs="Times New Roman"/>
          <w:sz w:val="24"/>
          <w:szCs w:val="24"/>
        </w:rPr>
        <w:lastRenderedPageBreak/>
        <w:t xml:space="preserve">The theoretical foundation of the study is based on historical and comparative evidence of monetary financing </w:t>
      </w:r>
      <w:r w:rsidR="00D70F45">
        <w:rPr>
          <w:rFonts w:ascii="Times New Roman" w:hAnsi="Times New Roman" w:cs="Times New Roman"/>
          <w:sz w:val="24"/>
          <w:szCs w:val="24"/>
        </w:rPr>
        <w:fldChar w:fldCharType="begin" w:fldLock="1"/>
      </w:r>
      <w:r w:rsidR="00D70F45">
        <w:rPr>
          <w:rFonts w:ascii="Times New Roman" w:hAnsi="Times New Roman" w:cs="Times New Roman"/>
          <w:sz w:val="24"/>
          <w:szCs w:val="24"/>
        </w:rPr>
        <w:instrText>ADDIN CSL_CITATION {"citationItems":[{"id":"ITEM-1","itemData":{"DOI":"10.2139/SSRN.2679090","abstract":"Historically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Journal","id":"ITEM-1","issued":{"date-parts":[["2015","10","23"]]},"number-of-pages":"52","publisher":"Elsevier BV","title":"Is Monetary Financing Inflationary? A Case Study of the Canadian Economy, 1935-75","type":"report"},"uris":["http://www.mendeley.com/documents/?uuid=804accf2-9032-3758-bcde-f1836393fa91"]}],"mendeley":{"formattedCitation":"(Ryan-Collins, 2015)","plainTextFormattedCitation":"(Ryan-Collins, 2015)","previouslyFormattedCitation":"(Ryan-Collins, 2015)"},"properties":{"noteIndex":0},"schema":"https://github.com/citation-style-language/schema/raw/master/csl-citation.json"}</w:instrText>
      </w:r>
      <w:r w:rsidR="00D70F45">
        <w:rPr>
          <w:rFonts w:ascii="Times New Roman" w:hAnsi="Times New Roman" w:cs="Times New Roman"/>
          <w:sz w:val="24"/>
          <w:szCs w:val="24"/>
        </w:rPr>
        <w:fldChar w:fldCharType="separate"/>
      </w:r>
      <w:r w:rsidR="00D70F45" w:rsidRPr="00D70F45">
        <w:rPr>
          <w:rFonts w:ascii="Times New Roman" w:hAnsi="Times New Roman" w:cs="Times New Roman"/>
          <w:noProof/>
          <w:sz w:val="24"/>
          <w:szCs w:val="24"/>
        </w:rPr>
        <w:t>(Ryan-Collins, 2015)</w:t>
      </w:r>
      <w:r w:rsidR="00D70F45">
        <w:rPr>
          <w:rFonts w:ascii="Times New Roman" w:hAnsi="Times New Roman" w:cs="Times New Roman"/>
          <w:sz w:val="24"/>
          <w:szCs w:val="24"/>
        </w:rPr>
        <w:fldChar w:fldCharType="end"/>
      </w:r>
      <w:r w:rsidR="00D70F45">
        <w:rPr>
          <w:rFonts w:ascii="Times New Roman" w:hAnsi="Times New Roman" w:cs="Times New Roman"/>
          <w:sz w:val="24"/>
          <w:szCs w:val="24"/>
        </w:rPr>
        <w:t>,</w:t>
      </w:r>
      <w:r w:rsidRPr="00B316A4">
        <w:rPr>
          <w:rFonts w:ascii="Times New Roman" w:hAnsi="Times New Roman" w:cs="Times New Roman"/>
          <w:sz w:val="24"/>
          <w:szCs w:val="24"/>
        </w:rPr>
        <w:t xml:space="preserve"> Islamic models of money </w:t>
      </w:r>
      <w:r w:rsidR="00D70F45">
        <w:rPr>
          <w:rFonts w:ascii="Times New Roman" w:hAnsi="Times New Roman" w:cs="Times New Roman"/>
          <w:sz w:val="24"/>
          <w:szCs w:val="24"/>
        </w:rPr>
        <w:fldChar w:fldCharType="begin" w:fldLock="1"/>
      </w:r>
      <w:r w:rsidR="00D70F45">
        <w:rPr>
          <w:rFonts w:ascii="Times New Roman" w:hAnsi="Times New Roman" w:cs="Times New Roman"/>
          <w:sz w:val="24"/>
          <w:szCs w:val="24"/>
        </w:rPr>
        <w:instrText>ADDIN CSL_CITATION {"citationItems":[{"id":"ITEM-1","itemData":{"DOI":"10.2139/SSRN.3348465","abstract":"It is widely known that in a fiat currency system, governments can create money tokens to meet public expenditure, then take some of them back through taxation or bond issue to adjust the money supply to a desired level. Yet the treasury departments in most countries strive to formulate fiscal policies in an attempt to match taxation with public expenditure while, at the same time, the central banks use monetary policy instruments for regulating money supply. The key question addressed in this research is whether the policies of the treasury departments and central banks are relevant to the functioning of the present-day economies where fiat currency is supposed to facilitate transactions rather than being a commodity. A parsimonious model of the macroeconomic system subsuming also the fiscal and monetary interventions is presented. The model is then used to understand the relevance of taxation to fiat money and to explore alternative policy levers for funding public expenditure and regulating money supply while delinking expenditure from taxation. It is proposed thatÂ the public spending can be entirely funded through deficits, while taxation together with open market operations is used as inflation control instruments. Control mechanisms for driving taxation and open market operations are explored.","author":[{"dropping-particle":"","family":"Saeed","given":"Khalid","non-dropping-particle":"","parse-names":false,"suffix":""}],"container-title":"SSRN Electronic Journal","id":"ITEM-1","issued":{"date-parts":[["2019","3","4"]]},"publisher":"Elsevier BV","title":"Unlinking Public Finance and Taxation in a Fiat Currency System","type":"article-journal"},"uris":["http://www.mendeley.com/documents/?uuid=4d3460c4-fd4c-3148-9e8f-ea304a4262f7"]},{"id":"ITEM-2","itemData":{"DOI":"10.2139/SSRN.3569416","abstract":"Modern Monetary Theory (MMT) is a heterodox macroeconomic lens that recontextualizes the role of monetary and fiscal policy in sovereign governments that borrow and issue national debt in their own monetary instrument. It MMT thus describes the practical uses of fiat currency in a public monopoly on money by a government with currency-sovereignty. MMT has gained increasing “currency” in recent years as progressive political parties discuss the “costs” involved in ambitious projects to develop their societies; but has gained an even larger audience since the spread of the Covid19 pandemic, with massive liquidity being pumped into monetary systems of the First World to grapple with the global health crisis. MMT’s interesting outlook on inflation, interest rates, government spending, deficits, and debt require the careful attention of a wider public. As such, this working paper offers a simple and general introduction to MMT.","author":[{"dropping-particle":"","family":"Chohan","given":"Usman W.","non-dropping-particle":"","parse-names":false,"suffix":""}],"container-title":"SSRN Electronic Journal","id":"ITEM-2","issued":{"date-parts":[["2020","4","6"]]},"publisher":"Elsevier BV","title":"Modern Monetary Theory (MMT): A General Introduction","type":"article-journal"},"uris":["http://www.mendeley.com/documents/?uuid=f9c80e7d-12a6-3c7f-adc5-61bb9edf7bcd"]}],"mendeley":{"formattedCitation":"(Chohan, 2020; Saeed, 2019)","plainTextFormattedCitation":"(Chohan, 2020; Saeed, 2019)","previouslyFormattedCitation":"(Chohan, 2020; Saeed, 2019)"},"properties":{"noteIndex":0},"schema":"https://github.com/citation-style-language/schema/raw/master/csl-citation.json"}</w:instrText>
      </w:r>
      <w:r w:rsidR="00D70F45">
        <w:rPr>
          <w:rFonts w:ascii="Times New Roman" w:hAnsi="Times New Roman" w:cs="Times New Roman"/>
          <w:sz w:val="24"/>
          <w:szCs w:val="24"/>
        </w:rPr>
        <w:fldChar w:fldCharType="separate"/>
      </w:r>
      <w:r w:rsidR="00D70F45" w:rsidRPr="00D70F45">
        <w:rPr>
          <w:rFonts w:ascii="Times New Roman" w:hAnsi="Times New Roman" w:cs="Times New Roman"/>
          <w:noProof/>
          <w:sz w:val="24"/>
          <w:szCs w:val="24"/>
        </w:rPr>
        <w:t>(Chohan, 2020; Saeed, 2019)</w:t>
      </w:r>
      <w:r w:rsidR="00D70F45">
        <w:rPr>
          <w:rFonts w:ascii="Times New Roman" w:hAnsi="Times New Roman" w:cs="Times New Roman"/>
          <w:sz w:val="24"/>
          <w:szCs w:val="24"/>
        </w:rPr>
        <w:fldChar w:fldCharType="end"/>
      </w:r>
      <w:r w:rsidRPr="00B316A4">
        <w:rPr>
          <w:rFonts w:ascii="Times New Roman" w:hAnsi="Times New Roman" w:cs="Times New Roman"/>
          <w:sz w:val="24"/>
          <w:szCs w:val="24"/>
        </w:rPr>
        <w:t xml:space="preserve">, and recent evaluations of CBDC projects </w:t>
      </w:r>
      <w:r w:rsidR="00D70F45">
        <w:rPr>
          <w:rFonts w:ascii="Times New Roman" w:hAnsi="Times New Roman" w:cs="Times New Roman"/>
          <w:sz w:val="24"/>
          <w:szCs w:val="24"/>
        </w:rPr>
        <w:fldChar w:fldCharType="begin" w:fldLock="1"/>
      </w:r>
      <w:r w:rsidR="00D70F45">
        <w:rPr>
          <w:rFonts w:ascii="Times New Roman" w:hAnsi="Times New Roman" w:cs="Times New Roman"/>
          <w:sz w:val="24"/>
          <w:szCs w:val="24"/>
        </w:rPr>
        <w:instrText>ADDIN CSL_CITATION {"citationItems":[{"id":"ITEM-1","itemData":{"abstract":"This paper provides a structured overview of the burgeoning literature on the economics of CBDC. We document the economic forces that shape the rise of digital money and review motives for the issuance of CBDC. We then study the implications for the financial system and discuss of a number of policy issues and challenges. While the academic literature broadly echoes policy makers' concerns about bank disintermediation and financial stability risks, it also provides conditions under which such adverse effects may not materialize. We also point to several knowledge gaps that merit further work, including data privacy and the study of end‐user preferences for attributes of digital payment methods.","author":[{"dropping-particle":"","family":"Ahnert","given":"Toni","non-dropping-particle":"","parse-names":false,"suffix":""},{"dropping-particle":"","family":"Assenmacher","given":"Katrin","non-dropping-particle":"","parse-names":false,"suffix":""},{"dropping-particle":"","family":"Hoffmann","given":"Peter","non-dropping-particle":"","parse-names":false,"suffix":""},{"dropping-particle":"","family":"Leonello","given":"Agnese","non-dropping-particle":"","parse-names":false,"suffix":""},{"dropping-particle":"","family":"Monnet","given":"Cyril","non-dropping-particle":"","parse-names":false,"suffix":""},{"dropping-particle":"","family":"Porcellacchia","given":"Davide","non-dropping-particle":"","parse-names":false,"suffix":""}],"container-title":"SSRN Electronic Journal","id":"ITEM-1","issued":{"date-parts":[["2023","1","1"]]},"title":"The Economics of Central Bank Digital Currency","type":"report"},"uris":["http://www.mendeley.com/documents/?uuid=00a4695a-ea97-301c-b550-80b1f9ac72b3"]},{"id":"ITEM-2","itemData":{"DOI":"10.1016/J.RIBAF.2022.101736","ISSN":"0275-5319","abstract":"Central bank digital currencies are engendering concern. As understanding of CBDCs is very limited, further research is warranted which will focus not only on the economic rationale of CBDCs but also on how they will impact monetary policy transmission, financial and price stability, inflation targeting, unconventional monetary instruments, central banks as lenders of last resort, and provision of forward guidance. There are also unsettled questions regarding ethics, privacy and environmental and technological constraints. With the imminent implementation of CBDCs, it is vital to explore these issues.","author":[{"dropping-particle":"","family":"Elsayed","given":"Ahmed H.","non-dropping-particle":"","parse-names":false,"suffix":""},{"dropping-particle":"","family":"Nasir","given":"Muhammad Ali","non-dropping-particle":"","parse-names":false,"suffix":""}],"container-title":"Research in International Business and Finance","id":"ITEM-2","issued":{"date-parts":[["2022","12","1"]]},"page":"101736","publisher":"Elsevier","title":"Central bank digital currencies: An agenda for future research","type":"article-journal","volume":"62"},"uris":["http://www.mendeley.com/documents/?uuid=2e71b081-b4fe-3d0e-b026-dbee10fb060d"]}],"mendeley":{"formattedCitation":"(Ahnert et al., 2023; Elsayed &amp; Nasir, 2022)","plainTextFormattedCitation":"(Ahnert et al., 2023; Elsayed &amp; Nasir, 2022)","previouslyFormattedCitation":"(Ahnert et al., 2023; Elsayed &amp; Nasir, 2022)"},"properties":{"noteIndex":0},"schema":"https://github.com/citation-style-language/schema/raw/master/csl-citation.json"}</w:instrText>
      </w:r>
      <w:r w:rsidR="00D70F45">
        <w:rPr>
          <w:rFonts w:ascii="Times New Roman" w:hAnsi="Times New Roman" w:cs="Times New Roman"/>
          <w:sz w:val="24"/>
          <w:szCs w:val="24"/>
        </w:rPr>
        <w:fldChar w:fldCharType="separate"/>
      </w:r>
      <w:r w:rsidR="00D70F45" w:rsidRPr="00D70F45">
        <w:rPr>
          <w:rFonts w:ascii="Times New Roman" w:hAnsi="Times New Roman" w:cs="Times New Roman"/>
          <w:noProof/>
          <w:sz w:val="24"/>
          <w:szCs w:val="24"/>
        </w:rPr>
        <w:t>(Ahnert et al., 2023; Elsayed &amp; Nasir, 2022)</w:t>
      </w:r>
      <w:r w:rsidR="00D70F45">
        <w:rPr>
          <w:rFonts w:ascii="Times New Roman" w:hAnsi="Times New Roman" w:cs="Times New Roman"/>
          <w:sz w:val="24"/>
          <w:szCs w:val="24"/>
        </w:rPr>
        <w:fldChar w:fldCharType="end"/>
      </w:r>
      <w:r w:rsidR="00D70F45">
        <w:rPr>
          <w:rFonts w:ascii="Times New Roman" w:hAnsi="Times New Roman" w:cs="Times New Roman"/>
          <w:sz w:val="24"/>
          <w:szCs w:val="24"/>
        </w:rPr>
        <w:t>.</w:t>
      </w:r>
      <w:r w:rsidRPr="00B316A4">
        <w:rPr>
          <w:rFonts w:ascii="Times New Roman" w:hAnsi="Times New Roman" w:cs="Times New Roman"/>
          <w:sz w:val="24"/>
          <w:szCs w:val="24"/>
        </w:rPr>
        <w:t xml:space="preserve"> Theoretical understanding of sovereign money, full-reserve banking, and SFC accounting systems is premised on the relevant economic literature </w:t>
      </w:r>
      <w:r w:rsidR="00D70F45">
        <w:rPr>
          <w:rFonts w:ascii="Times New Roman" w:hAnsi="Times New Roman" w:cs="Times New Roman"/>
          <w:sz w:val="24"/>
          <w:szCs w:val="24"/>
        </w:rPr>
        <w:fldChar w:fldCharType="begin" w:fldLock="1"/>
      </w:r>
      <w:r w:rsidR="00D70F45">
        <w:rPr>
          <w:rFonts w:ascii="Times New Roman" w:hAnsi="Times New Roman" w:cs="Times New Roman"/>
          <w:sz w:val="24"/>
          <w:szCs w:val="24"/>
        </w:rPr>
        <w:instrText>ADDIN CSL_CITATION {"citationItems":[{"id":"ITEM-1","itemData":{"ISBN":"9788449048852","abstract":"Esta tesis tiene como objetivo contribuir al debate, en el mundo académico y más allá, sobre los argumentos de ciertas alternativas a los sistemas monetarios de las economías capitalistas existentes. Son investigadas dos clases de organización monetaria alternativa: las monedas locales (monedas comunitarias) y la banca de reserva 100% (C-PeRB). El presente trabajo se centra principalmente en la evaluación de su relevancia contemporánea para mejoramientos, potencialmente amplios, de la equidad social y la sostenibilidad ecológica. El enfoque metodológico es la interdisciplinariedad orientada al estudio de problemas. El capítulo introductorio argumenta que hay mucho margen para el desarrollo de las perspectivas de la economía ecológica sobre las alternativas al dinero de siempre. Se ofrece una breve exposición de la contribución de Frederick Soddy a la economía ecológica del dinero, con el argumento de que las futuras investigaciones en esta línea deberían dar más consideración a la política del dinero. El capítulo 2 presenta el movimiento decrecentista y su promoción de las monedas locales como herramientas para avanzar el decrecimiento socialmente equitativo y ecológicamente sostenible. El capítulo revisa la investigación académica sobre cuatro tipos comunes de moneda local - LETS, bancos de tiempo, monedas HOUR, y monedas locales convertibles - para evaluar su rendimiento con respecto a cuatro criterios relacionados con el decrecimiento: la generación de comunidades, la promoción de valores alternativos en el intercambio económico, la facilitación de medios de vida alternativos, y la relocalización económica. Llegamos a la conclusión que la investigación existente constituye una base muy débil para abogar por las redes de moneda local como herramientas para una transición decrecentista intencionada, es decir, una salida intencional de la sociedad basada en el crecimiento para prevenir la continuación de la destrucción ambiental y el sufrimiento humano. El capítulo desarrolla la aplicación a este tipo de redes de la crítica marxista al socialismo utópico. Los capítulos 3-5 presentan un estudio de caso del experimento con las moneda comunales en Venezuela, que es único en el mundo como una iniciativa del gobierno central. Dada la falta de éxito del experimento, consideramos su fundación en un optimismo cultural fuerte y en conceptos confusos sobre la naturaleza y los orígenes del dinero. Argumentamos que el apoyo gubernamental ha tenido sus pros y sus co…","author":[{"dropping-particle":"","family":"Dittmer","given":"Kristofer","non-dropping-particle":"","parse-names":false,"suffix":""},{"dropping-particle":"","family":"Lemkow","given":"Louis","non-dropping-particle":"","parse-names":false,"suffix":""}],"id":"ITEM-1","issued":{"date-parts":[["2015"]]},"publisher":"Universitat Autònoma de Barcelona,","title":"Alternatives to money-as-usual in ecological economics: a study of local currencies and 100 percent reserve banking","type":"article-journal"},"uris":["http://www.mendeley.com/documents/?uuid=9595489f-a233-326c-9c62-a6841de4912d"]},{"id":"ITEM-2","itemData":{"DOI":"10.1016/J.STRUECO.2021.08.009","ISSN":"0954-349X","abstract":"The purpose of the paper is to provide a comprehensive comparison of fiscal and monetary policies with different forms of public expenditure, including a job guarantee (JG) plan. Our key findings are as follows. First, expansionary fiscal policies (including JG) are effective in reflating the economy independently of the way in which they are funded. However, deficit monetization should be expected to be more effective in the short run, while bill-funded government spending is likely to be more effective in the long run. Second, expansionary monetary policies are reflationary in the short run. However, they may have deflationary effects on the economy in the medium to long run. Third, a lower reserve requirement can reflate the economy, but the expected impact is rather weak. Fourth, non-selective tax cuts are effective, but less effective than government spending. Fifth, the impact on the price level is harder to predict than the impact on output. Sixth, conventional spending outclasses JG in terms of GDP growth and inflation rate control, but the JG is a better option in terms of employment results and income distribution.","author":[{"dropping-particle":"","family":"Sawyer","given":"Malcolm","non-dropping-particle":"","parse-names":false,"suffix":""},{"dropping-particle":"","family":"Veronese Passarella","given":"Marco","non-dropping-particle":"","parse-names":false,"suffix":""}],"container-title":"Structural Change and Economic Dynamics","id":"ITEM-2","issued":{"date-parts":[["2021","12","1"]]},"page":"384-404","publisher":"North-Holland","title":"A Comprehensive Comparison of Fiscal and Monetary Policies: A Comparative Dynamics Approach","type":"article-journal","volume":"59"},"uris":["http://www.mendeley.com/documents/?uuid=881ed8f7-78d6-3d0b-9689-0c90ee82f2d4"]},{"id":"ITEM-3","itemData":{"author":[{"dropping-particle":"","family":"Benes","given":"MJ","non-dropping-particle":"","parse-names":false,"suffix":""},{"dropping-particle":"","family":"Kumhof","given":"MM","non-dropping-particle":"","parse-names":false,"suffix":""}],"id":"ITEM-3","issued":{"date-parts":[["2012"]]},"publisher":"International Monetary Fund","title":"The Chicago plan revisited","type":"book"},"uris":["http://www.mendeley.com/documents/?uuid=247a3f89-3605-4ed6-9895-506a6fcdc622"]}],"mendeley":{"formattedCitation":"(Benes &amp; Kumhof, 2012; Dittmer &amp; Lemkow, 2015; Sawyer &amp; Veronese Passarella, 2021)","plainTextFormattedCitation":"(Benes &amp; Kumhof, 2012; Dittmer &amp; Lemkow, 2015; Sawyer &amp; Veronese Passarella, 2021)","previouslyFormattedCitation":"(Benes &amp; Kumhof, 2012; Dittmer &amp; Lemkow, 2015; Sawyer &amp; Veronese Passarella, 2021)"},"properties":{"noteIndex":0},"schema":"https://github.com/citation-style-language/schema/raw/master/csl-citation.json"}</w:instrText>
      </w:r>
      <w:r w:rsidR="00D70F45">
        <w:rPr>
          <w:rFonts w:ascii="Times New Roman" w:hAnsi="Times New Roman" w:cs="Times New Roman"/>
          <w:sz w:val="24"/>
          <w:szCs w:val="24"/>
        </w:rPr>
        <w:fldChar w:fldCharType="separate"/>
      </w:r>
      <w:r w:rsidR="00D70F45" w:rsidRPr="00D70F45">
        <w:rPr>
          <w:rFonts w:ascii="Times New Roman" w:hAnsi="Times New Roman" w:cs="Times New Roman"/>
          <w:noProof/>
          <w:sz w:val="24"/>
          <w:szCs w:val="24"/>
        </w:rPr>
        <w:t>(Benes &amp; Kumhof, 2012; Dittmer &amp; Lemkow, 2015; Sawyer &amp; Veronese Passarella, 2021)</w:t>
      </w:r>
      <w:r w:rsidR="00D70F45">
        <w:rPr>
          <w:rFonts w:ascii="Times New Roman" w:hAnsi="Times New Roman" w:cs="Times New Roman"/>
          <w:sz w:val="24"/>
          <w:szCs w:val="24"/>
        </w:rPr>
        <w:fldChar w:fldCharType="end"/>
      </w:r>
      <w:r w:rsidR="00D70F45">
        <w:rPr>
          <w:rFonts w:ascii="Times New Roman" w:hAnsi="Times New Roman" w:cs="Times New Roman"/>
          <w:sz w:val="24"/>
          <w:szCs w:val="24"/>
        </w:rPr>
        <w:t>.</w:t>
      </w:r>
    </w:p>
    <w:p w14:paraId="679B24DE" w14:textId="77777777" w:rsidR="006F6EB2" w:rsidRPr="00E767D6" w:rsidRDefault="006F6EB2" w:rsidP="001A2E76">
      <w:pPr>
        <w:spacing w:before="240" w:line="240" w:lineRule="auto"/>
        <w:jc w:val="both"/>
        <w:rPr>
          <w:rFonts w:ascii="Times New Roman" w:eastAsiaTheme="majorEastAsia" w:hAnsi="Times New Roman" w:cs="Times New Roman"/>
          <w:b/>
          <w:bCs/>
          <w:sz w:val="24"/>
          <w:szCs w:val="24"/>
          <w:lang w:val="en-PK"/>
        </w:rPr>
      </w:pPr>
      <w:r w:rsidRPr="00E767D6">
        <w:rPr>
          <w:rFonts w:ascii="Times New Roman" w:eastAsiaTheme="majorEastAsia" w:hAnsi="Times New Roman" w:cs="Times New Roman"/>
          <w:b/>
          <w:bCs/>
          <w:sz w:val="24"/>
          <w:szCs w:val="24"/>
          <w:lang w:val="en-PK"/>
        </w:rPr>
        <w:t>4. Results and Analysis</w:t>
      </w:r>
    </w:p>
    <w:p w14:paraId="45E24F56" w14:textId="63041B03" w:rsidR="006F6EB2" w:rsidRPr="00E767D6" w:rsidRDefault="00E767D6" w:rsidP="001A2E76">
      <w:pPr>
        <w:spacing w:before="240" w:line="240" w:lineRule="auto"/>
        <w:jc w:val="both"/>
        <w:rPr>
          <w:rFonts w:ascii="Times New Roman" w:eastAsiaTheme="majorEastAsia" w:hAnsi="Times New Roman" w:cs="Times New Roman"/>
          <w:sz w:val="24"/>
          <w:szCs w:val="24"/>
          <w:lang w:val="en-PK"/>
        </w:rPr>
      </w:pPr>
      <w:r w:rsidRPr="00E767D6">
        <w:rPr>
          <w:rFonts w:ascii="Times New Roman" w:hAnsi="Times New Roman" w:cs="Times New Roman"/>
          <w:sz w:val="24"/>
          <w:szCs w:val="24"/>
        </w:rPr>
        <w:t xml:space="preserve">The objective of the findings is </w:t>
      </w:r>
      <w:r w:rsidR="000E27CD">
        <w:rPr>
          <w:rFonts w:ascii="Times New Roman" w:hAnsi="Times New Roman" w:cs="Times New Roman"/>
          <w:sz w:val="24"/>
          <w:szCs w:val="24"/>
        </w:rPr>
        <w:t xml:space="preserve">intended </w:t>
      </w:r>
      <w:r w:rsidRPr="00E767D6">
        <w:rPr>
          <w:rFonts w:ascii="Times New Roman" w:hAnsi="Times New Roman" w:cs="Times New Roman"/>
          <w:sz w:val="24"/>
          <w:szCs w:val="24"/>
        </w:rPr>
        <w:t>to explain the directional impacts and macroeconomic processes that arise when comparing the existing system of fractional-reserve, interest-based money with a suggested system of full-reserve, interest-free, sovereign-mon</w:t>
      </w:r>
      <w:r w:rsidRPr="00DC25BE">
        <w:rPr>
          <w:rFonts w:ascii="Times New Roman" w:hAnsi="Times New Roman" w:cs="Times New Roman"/>
          <w:sz w:val="24"/>
          <w:szCs w:val="24"/>
        </w:rPr>
        <w:t>ey</w:t>
      </w:r>
      <w:r w:rsidR="00DC25BE" w:rsidRPr="00DC25BE">
        <w:rPr>
          <w:rFonts w:ascii="Times New Roman" w:hAnsi="Times New Roman" w:cs="Times New Roman"/>
          <w:sz w:val="24"/>
          <w:szCs w:val="24"/>
        </w:rPr>
        <w:t>.</w:t>
      </w:r>
      <w:r w:rsidR="00DC25BE">
        <w:rPr>
          <w:rFonts w:ascii="Times New Roman" w:hAnsi="Times New Roman" w:cs="Times New Roman"/>
          <w:sz w:val="24"/>
          <w:szCs w:val="24"/>
        </w:rPr>
        <w:t xml:space="preserve"> </w:t>
      </w:r>
      <w:r w:rsidRPr="00E767D6">
        <w:rPr>
          <w:rFonts w:ascii="Times New Roman" w:hAnsi="Times New Roman" w:cs="Times New Roman"/>
          <w:sz w:val="24"/>
          <w:szCs w:val="24"/>
        </w:rPr>
        <w:t>Since the analysis is based on a conceptual Stock-Flow Consistent (SFC) framework as opposed to a calibrated econometric model, the results represent structural differences observed in the previous literature as opposed to deterministic projections.</w:t>
      </w:r>
      <w:r>
        <w:rPr>
          <w:rFonts w:ascii="Times New Roman" w:hAnsi="Times New Roman" w:cs="Times New Roman"/>
          <w:sz w:val="24"/>
          <w:szCs w:val="24"/>
        </w:rPr>
        <w:t xml:space="preserve"> </w:t>
      </w:r>
      <w:r w:rsidRPr="00E767D6">
        <w:rPr>
          <w:rFonts w:ascii="Times New Roman" w:hAnsi="Times New Roman" w:cs="Times New Roman"/>
          <w:sz w:val="24"/>
          <w:szCs w:val="24"/>
        </w:rPr>
        <w:t xml:space="preserve">This approach is in line with the historical assessment of monetary reform - such as </w:t>
      </w:r>
      <w:r w:rsidR="00D70F45">
        <w:rPr>
          <w:rFonts w:ascii="Times New Roman" w:hAnsi="Times New Roman" w:cs="Times New Roman"/>
          <w:sz w:val="24"/>
          <w:szCs w:val="24"/>
        </w:rPr>
        <w:fldChar w:fldCharType="begin" w:fldLock="1"/>
      </w:r>
      <w:r w:rsidR="00405998">
        <w:rPr>
          <w:rFonts w:ascii="Times New Roman" w:hAnsi="Times New Roman" w:cs="Times New Roman"/>
          <w:sz w:val="24"/>
          <w:szCs w:val="24"/>
        </w:rPr>
        <w:instrText>ADDIN CSL_CITATION {"citationItems":[{"id":"ITEM-1","itemData":{"DOI":"10.2139/SSRN.2679090","abstract":"Historically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Journal","id":"ITEM-1","issued":{"date-parts":[["2015","10","23"]]},"number-of-pages":"52","publisher":"Elsevier BV","title":"Is Monetary Financing Inflationary? A Case Study of the Canadian Economy, 1935-75","type":"report"},"uris":["http://www.mendeley.com/documents/?uuid=804accf2-9032-3758-bcde-f1836393fa91"]},{"id":"ITEM-2","itemData":{"author":[{"dropping-particle":"","family":"Benes","given":"MJ","non-dropping-particle":"","parse-names":false,"suffix":""},{"dropping-particle":"","family":"Kumhof","given":"MM","non-dropping-particle":"","parse-names":false,"suffix":""}],"id":"ITEM-2","issued":{"date-parts":[["2012"]]},"publisher":"International Monetary Fund","title":"The Chicago plan revisited","type":"book"},"uris":["http://www.mendeley.com/documents/?uuid=247a3f89-3605-4ed6-9895-506a6fcdc622"]},{"id":"ITEM-3","itemData":{"DOI":"10.2139/SSRN.4890683","author":[{"dropping-particle":"","family":"Berkeley","given":"Andrew","non-dropping-particle":"","parse-names":false,"suffix":""},{"dropping-particle":"","family":"Ryan-Collins","given":"Josh","non-dropping-particle":"","parse-names":false,"suffix":""},{"dropping-particle":"","family":"Ruge","given":"Asker Voldsgaard","non-dropping-particle":"","parse-names":false,"suffix":""},{"dropping-particle":"","family":"Tye","given":"Richard","non-dropping-particle":"","parse-names":false,"suffix":""},{"dropping-particle":"","family":"Wilson","given":"Neil","non-dropping-particle":"","parse-names":false,"suffix":""}],"container-title":"SSRN Electronic Journal","id":"ITEM-3","issued":{"date-parts":[["2024","1","26"]]},"publisher":"Elsevier BV","title":"The self-financing state: an institutional analysis of government expenditure, revenue collection and debt issuance operations in the United Kingdom","type":"article-journal"},"uris":["http://www.mendeley.com/documents/?uuid=db306c09-685b-3c83-bea4-5796869264e3"]}],"mendeley":{"formattedCitation":"(Benes &amp; Kumhof, 2012; Berkeley et al., 2024; Ryan-Collins, 2015)","plainTextFormattedCitation":"(Benes &amp; Kumhof, 2012; Berkeley et al., 2024; Ryan-Collins, 2015)","previouslyFormattedCitation":"(Benes &amp; Kumhof, 2012; Berkeley et al., 2024; Ryan-Collins, 2015)"},"properties":{"noteIndex":0},"schema":"https://github.com/citation-style-language/schema/raw/master/csl-citation.json"}</w:instrText>
      </w:r>
      <w:r w:rsidR="00D70F45">
        <w:rPr>
          <w:rFonts w:ascii="Times New Roman" w:hAnsi="Times New Roman" w:cs="Times New Roman"/>
          <w:sz w:val="24"/>
          <w:szCs w:val="24"/>
        </w:rPr>
        <w:fldChar w:fldCharType="separate"/>
      </w:r>
      <w:r w:rsidR="00D70F45" w:rsidRPr="00D70F45">
        <w:rPr>
          <w:rFonts w:ascii="Times New Roman" w:hAnsi="Times New Roman" w:cs="Times New Roman"/>
          <w:noProof/>
          <w:sz w:val="24"/>
          <w:szCs w:val="24"/>
        </w:rPr>
        <w:t>(Benes &amp; Kumhof, 2012; Berkeley et al., 2024; Ryan-Collins, 2015)</w:t>
      </w:r>
      <w:r w:rsidR="00D70F45">
        <w:rPr>
          <w:rFonts w:ascii="Times New Roman" w:hAnsi="Times New Roman" w:cs="Times New Roman"/>
          <w:sz w:val="24"/>
          <w:szCs w:val="24"/>
        </w:rPr>
        <w:fldChar w:fldCharType="end"/>
      </w:r>
      <w:r w:rsidR="00D70F45">
        <w:rPr>
          <w:rFonts w:ascii="Times New Roman" w:hAnsi="Times New Roman" w:cs="Times New Roman"/>
          <w:sz w:val="24"/>
          <w:szCs w:val="24"/>
        </w:rPr>
        <w:t>,</w:t>
      </w:r>
      <w:r w:rsidRPr="00E767D6">
        <w:rPr>
          <w:rFonts w:ascii="Times New Roman" w:hAnsi="Times New Roman" w:cs="Times New Roman"/>
          <w:sz w:val="24"/>
          <w:szCs w:val="24"/>
        </w:rPr>
        <w:t xml:space="preserve"> which focus on qualitative fiscal and monetary dynamics rather than point predictions.</w:t>
      </w:r>
    </w:p>
    <w:p w14:paraId="160A654B" w14:textId="77777777" w:rsidR="006F6EB2" w:rsidRPr="003F79AD" w:rsidRDefault="006F6EB2" w:rsidP="001A2E76">
      <w:pPr>
        <w:spacing w:before="240" w:line="240" w:lineRule="auto"/>
        <w:jc w:val="both"/>
        <w:rPr>
          <w:rFonts w:ascii="Times New Roman" w:eastAsiaTheme="majorEastAsia" w:hAnsi="Times New Roman" w:cs="Times New Roman"/>
          <w:i/>
          <w:iCs/>
          <w:sz w:val="24"/>
          <w:szCs w:val="24"/>
          <w:lang w:val="en-PK"/>
        </w:rPr>
      </w:pPr>
      <w:r w:rsidRPr="003F79AD">
        <w:rPr>
          <w:rFonts w:ascii="Times New Roman" w:eastAsiaTheme="majorEastAsia" w:hAnsi="Times New Roman" w:cs="Times New Roman"/>
          <w:i/>
          <w:iCs/>
          <w:sz w:val="24"/>
          <w:szCs w:val="24"/>
          <w:lang w:val="en-PK"/>
        </w:rPr>
        <w:t>4.1 Government Debt Dynamics</w:t>
      </w:r>
    </w:p>
    <w:p w14:paraId="3AD46B8D" w14:textId="4670C7FE" w:rsidR="003860BB" w:rsidRDefault="003860BB" w:rsidP="001A2E76">
      <w:pPr>
        <w:spacing w:before="240" w:line="240" w:lineRule="auto"/>
        <w:jc w:val="both"/>
        <w:rPr>
          <w:rFonts w:ascii="Times New Roman" w:hAnsi="Times New Roman" w:cs="Times New Roman"/>
          <w:sz w:val="24"/>
          <w:szCs w:val="24"/>
        </w:rPr>
      </w:pPr>
      <w:r w:rsidRPr="003860BB">
        <w:rPr>
          <w:rFonts w:ascii="Times New Roman" w:hAnsi="Times New Roman" w:cs="Times New Roman"/>
          <w:sz w:val="24"/>
          <w:szCs w:val="24"/>
        </w:rPr>
        <w:t>In a fractional-reserve system, deficits by governments automatically result in an increase in the amount of public debt since government expenditure is mostly funded by issuing interest-paying bonds. This structure, as illustrated by the Canadian example (1935</w:t>
      </w:r>
      <w:r>
        <w:rPr>
          <w:rFonts w:ascii="Times New Roman" w:hAnsi="Times New Roman" w:cs="Times New Roman"/>
          <w:sz w:val="24"/>
          <w:szCs w:val="24"/>
        </w:rPr>
        <w:t>-</w:t>
      </w:r>
      <w:r w:rsidRPr="003860BB">
        <w:rPr>
          <w:rFonts w:ascii="Times New Roman" w:hAnsi="Times New Roman" w:cs="Times New Roman"/>
          <w:sz w:val="24"/>
          <w:szCs w:val="24"/>
        </w:rPr>
        <w:t xml:space="preserve">1975) and recorded by </w:t>
      </w:r>
      <w:r w:rsidR="00F71441">
        <w:rPr>
          <w:rFonts w:ascii="Times New Roman" w:hAnsi="Times New Roman" w:cs="Times New Roman"/>
          <w:sz w:val="24"/>
          <w:szCs w:val="24"/>
        </w:rPr>
        <w:fldChar w:fldCharType="begin" w:fldLock="1"/>
      </w:r>
      <w:r w:rsidR="0020554A">
        <w:rPr>
          <w:rFonts w:ascii="Times New Roman" w:hAnsi="Times New Roman" w:cs="Times New Roman"/>
          <w:sz w:val="24"/>
          <w:szCs w:val="24"/>
        </w:rPr>
        <w:instrText>ADDIN CSL_CITATION {"citationItems":[{"id":"ITEM-1","itemData":{"DOI":"10.2139/SSRN.2679090","abstract":"Historically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Journal","id":"ITEM-1","issued":{"date-parts":[["2015","10","23"]]},"number-of-pages":"52","publisher":"Elsevier BV","title":"Is Monetary Financing Inflationary? A Case Study of the Canadian Economy, 1935-75","type":"report"},"uris":["http://www.mendeley.com/documents/?uuid=804accf2-9032-3758-bcde-f1836393fa91"]}],"mendeley":{"formattedCitation":"(Ryan-Collins, 2015)","plainTextFormattedCitation":"(Ryan-Collins, 2015)","previouslyFormattedCitation":"(Ryan-Collins, 2015)"},"properties":{"noteIndex":0},"schema":"https://github.com/citation-style-language/schema/raw/master/csl-citation.json"}</w:instrText>
      </w:r>
      <w:r w:rsidR="00F71441">
        <w:rPr>
          <w:rFonts w:ascii="Times New Roman" w:hAnsi="Times New Roman" w:cs="Times New Roman"/>
          <w:sz w:val="24"/>
          <w:szCs w:val="24"/>
        </w:rPr>
        <w:fldChar w:fldCharType="separate"/>
      </w:r>
      <w:r w:rsidR="00F71441" w:rsidRPr="00F71441">
        <w:rPr>
          <w:rFonts w:ascii="Times New Roman" w:hAnsi="Times New Roman" w:cs="Times New Roman"/>
          <w:noProof/>
          <w:sz w:val="24"/>
          <w:szCs w:val="24"/>
        </w:rPr>
        <w:t>(Ryan-Collins, 2015)</w:t>
      </w:r>
      <w:r w:rsidR="00F71441">
        <w:rPr>
          <w:rFonts w:ascii="Times New Roman" w:hAnsi="Times New Roman" w:cs="Times New Roman"/>
          <w:sz w:val="24"/>
          <w:szCs w:val="24"/>
        </w:rPr>
        <w:fldChar w:fldCharType="end"/>
      </w:r>
      <w:r w:rsidRPr="003860BB">
        <w:rPr>
          <w:rFonts w:ascii="Times New Roman" w:hAnsi="Times New Roman" w:cs="Times New Roman"/>
          <w:sz w:val="24"/>
          <w:szCs w:val="24"/>
        </w:rPr>
        <w:t xml:space="preserve"> introduces a permanent interest charge on fiscal accounts even at moderate levels of deficit. This mechanism is recreated by the conceptual SFC framework applicable in the current study: bonds-financed expenditures raise the stock of debt, which must be repaid with interest in the future, which in turn expands fiscal gaps. </w:t>
      </w:r>
    </w:p>
    <w:p w14:paraId="6A183943" w14:textId="54EB54A5" w:rsidR="007A444F" w:rsidRPr="003860BB" w:rsidRDefault="003860BB" w:rsidP="001A2E76">
      <w:pPr>
        <w:spacing w:before="240" w:line="240" w:lineRule="auto"/>
        <w:jc w:val="both"/>
        <w:rPr>
          <w:rFonts w:ascii="Times New Roman" w:hAnsi="Times New Roman" w:cs="Times New Roman"/>
          <w:sz w:val="24"/>
          <w:szCs w:val="24"/>
        </w:rPr>
      </w:pPr>
      <w:r w:rsidRPr="003860BB">
        <w:rPr>
          <w:rFonts w:ascii="Times New Roman" w:hAnsi="Times New Roman" w:cs="Times New Roman"/>
          <w:sz w:val="24"/>
          <w:szCs w:val="24"/>
        </w:rPr>
        <w:t xml:space="preserve">In a sovereign-money system or full-reserve system, the accounting identity is altered. In the case where the expenditure is financed by money issued by the state instead of the issue of bonds, no new public debt is made, and seigniorage is received by the government itself. According to historical and theoretical studies </w:t>
      </w:r>
      <w:r w:rsidR="00F71441">
        <w:rPr>
          <w:rFonts w:ascii="Times New Roman" w:hAnsi="Times New Roman" w:cs="Times New Roman"/>
          <w:sz w:val="24"/>
          <w:szCs w:val="24"/>
        </w:rPr>
        <w:fldChar w:fldCharType="begin" w:fldLock="1"/>
      </w:r>
      <w:r w:rsidR="00F71441">
        <w:rPr>
          <w:rFonts w:ascii="Times New Roman" w:hAnsi="Times New Roman" w:cs="Times New Roman"/>
          <w:sz w:val="24"/>
          <w:szCs w:val="24"/>
        </w:rPr>
        <w:instrText>ADDIN CSL_CITATION {"citationItems":[{"id":"ITEM-1","itemData":{"author":[{"dropping-particle":"","family":"Benes","given":"MJ","non-dropping-particle":"","parse-names":false,"suffix":""},{"dropping-particle":"","family":"Kumhof","given":"MM","non-dropping-particle":"","parse-names":false,"suffix":""}],"id":"ITEM-1","issued":{"date-parts":[["2012"]]},"publisher":"International Monetary Fund","title":"The Chicago plan revisited","type":"book"},"uris":["http://www.mendeley.com/documents/?uuid=247a3f89-3605-4ed6-9895-506a6fcdc622"]},{"id":"ITEM-2","itemData":{"DOI":"10.2139/SSRN.4890683","author":[{"dropping-particle":"","family":"Berkeley","given":"Andrew","non-dropping-particle":"","parse-names":false,"suffix":""},{"dropping-particle":"","family":"Ryan-Collins","given":"Josh","non-dropping-particle":"","parse-names":false,"suffix":""},{"dropping-particle":"","family":"Ruge","given":"Asker Voldsgaard","non-dropping-particle":"","parse-names":false,"suffix":""},{"dropping-particle":"","family":"Tye","given":"Richard","non-dropping-particle":"","parse-names":false,"suffix":""},{"dropping-particle":"","family":"Wilson","given":"Neil","non-dropping-particle":"","parse-names":false,"suffix":""}],"container-title":"SSRN Electronic Journal","id":"ITEM-2","issued":{"date-parts":[["2024","1","26"]]},"publisher":"Elsevier BV","title":"The self-financing state: an institutional analysis of government expenditure, revenue collection and debt issuance operations in the United Kingdom","type":"article-journal"},"uris":["http://www.mendeley.com/documents/?uuid=db306c09-685b-3c83-bea4-5796869264e3"]}],"mendeley":{"formattedCitation":"(Benes &amp; Kumhof, 2012; Berkeley et al., 2024)","plainTextFormattedCitation":"(Benes &amp; Kumhof, 2012; Berkeley et al., 2024)","previouslyFormattedCitation":"(Benes &amp; Kumhof, 2012; Berkeley et al., 2024)"},"properties":{"noteIndex":0},"schema":"https://github.com/citation-style-language/schema/raw/master/csl-citation.json"}</w:instrText>
      </w:r>
      <w:r w:rsidR="00F71441">
        <w:rPr>
          <w:rFonts w:ascii="Times New Roman" w:hAnsi="Times New Roman" w:cs="Times New Roman"/>
          <w:sz w:val="24"/>
          <w:szCs w:val="24"/>
        </w:rPr>
        <w:fldChar w:fldCharType="separate"/>
      </w:r>
      <w:r w:rsidR="00F71441" w:rsidRPr="00F71441">
        <w:rPr>
          <w:rFonts w:ascii="Times New Roman" w:hAnsi="Times New Roman" w:cs="Times New Roman"/>
          <w:noProof/>
          <w:sz w:val="24"/>
          <w:szCs w:val="24"/>
        </w:rPr>
        <w:t>(Benes &amp; Kumhof, 2012; Berkeley et al., 2024)</w:t>
      </w:r>
      <w:r w:rsidR="00F71441">
        <w:rPr>
          <w:rFonts w:ascii="Times New Roman" w:hAnsi="Times New Roman" w:cs="Times New Roman"/>
          <w:sz w:val="24"/>
          <w:szCs w:val="24"/>
        </w:rPr>
        <w:fldChar w:fldCharType="end"/>
      </w:r>
      <w:r w:rsidRPr="003860BB">
        <w:rPr>
          <w:rFonts w:ascii="Times New Roman" w:hAnsi="Times New Roman" w:cs="Times New Roman"/>
          <w:sz w:val="24"/>
          <w:szCs w:val="24"/>
        </w:rPr>
        <w:t>, it minimizes the pressures of long-term debts and enhances fiscal sustainability. Although the present paper does not determine numerical ways of debt paths, the directional implication is obvious: a full-reserve, interest-free system is a systematic reduction of future debt accumulation compared with the current system.</w:t>
      </w:r>
    </w:p>
    <w:p w14:paraId="6E53B6CF" w14:textId="12372F24" w:rsidR="006F6EB2" w:rsidRPr="003F79AD" w:rsidRDefault="006F6EB2" w:rsidP="001A2E76">
      <w:pPr>
        <w:spacing w:before="240" w:line="240" w:lineRule="auto"/>
        <w:jc w:val="both"/>
        <w:rPr>
          <w:rFonts w:ascii="Times New Roman" w:eastAsiaTheme="majorEastAsia" w:hAnsi="Times New Roman" w:cs="Times New Roman"/>
          <w:i/>
          <w:iCs/>
          <w:sz w:val="24"/>
          <w:szCs w:val="24"/>
          <w:lang w:val="en-PK"/>
        </w:rPr>
      </w:pPr>
      <w:r w:rsidRPr="003F79AD">
        <w:rPr>
          <w:rFonts w:ascii="Times New Roman" w:eastAsiaTheme="majorEastAsia" w:hAnsi="Times New Roman" w:cs="Times New Roman"/>
          <w:i/>
          <w:iCs/>
          <w:sz w:val="24"/>
          <w:szCs w:val="24"/>
          <w:lang w:val="en-PK"/>
        </w:rPr>
        <w:t>4.2 Inflation Dynamics</w:t>
      </w:r>
    </w:p>
    <w:p w14:paraId="532BC40E" w14:textId="4DD98D9A" w:rsidR="006937AA" w:rsidRPr="006937AA" w:rsidRDefault="006F6EB2" w:rsidP="001A2E76">
      <w:pPr>
        <w:spacing w:before="240" w:line="240" w:lineRule="auto"/>
        <w:jc w:val="both"/>
        <w:rPr>
          <w:rFonts w:ascii="Times New Roman" w:eastAsiaTheme="majorEastAsia" w:hAnsi="Times New Roman" w:cs="Times New Roman"/>
          <w:sz w:val="24"/>
          <w:szCs w:val="24"/>
        </w:rPr>
      </w:pPr>
      <w:r w:rsidRPr="006937AA">
        <w:rPr>
          <w:rFonts w:ascii="Times New Roman" w:eastAsiaTheme="majorEastAsia" w:hAnsi="Times New Roman" w:cs="Times New Roman"/>
          <w:sz w:val="24"/>
          <w:szCs w:val="24"/>
        </w:rPr>
        <w:t xml:space="preserve">Inflation outcomes depend critically on how money creation interacts with productive capacity, supply conditions, and the institutional discipline guiding issuance. </w:t>
      </w:r>
      <w:r w:rsidR="006937AA" w:rsidRPr="006937AA">
        <w:rPr>
          <w:rFonts w:ascii="Times New Roman" w:eastAsiaTheme="majorEastAsia" w:hAnsi="Times New Roman" w:cs="Times New Roman"/>
          <w:sz w:val="24"/>
          <w:szCs w:val="24"/>
        </w:rPr>
        <w:t xml:space="preserve">Empirical studies indicate that state-directed money creation may not necessarily result in a runaway inflation in case it is associated with the real activity of the economy and has proper governance </w:t>
      </w:r>
      <w:r w:rsidR="00F71441">
        <w:rPr>
          <w:rFonts w:ascii="Times New Roman" w:eastAsiaTheme="majorEastAsia" w:hAnsi="Times New Roman" w:cs="Times New Roman"/>
          <w:sz w:val="24"/>
          <w:szCs w:val="24"/>
        </w:rPr>
        <w:fldChar w:fldCharType="begin" w:fldLock="1"/>
      </w:r>
      <w:r w:rsidR="00F71441">
        <w:rPr>
          <w:rFonts w:ascii="Times New Roman" w:eastAsiaTheme="majorEastAsia" w:hAnsi="Times New Roman" w:cs="Times New Roman"/>
          <w:sz w:val="24"/>
          <w:szCs w:val="24"/>
        </w:rPr>
        <w:instrText>ADDIN CSL_CITATION {"citationItems":[{"id":"ITEM-1","itemData":{"abstract":"Climate change poses new challenges to central banks, regulators and supervisors.This book reviews ways of addressing these new risks within central banks' financial stability mandate.However, integrating climate-related risk analysis into financial stability monitoring is particularly challenging because of the radical uncertainty associated with a physical, social and economic phenomenon that is constantly changing and involves complex dynamics and chain reactions.Traditional backward-looking risk assessments and existing climate-economic models cannot anticipate accurately enough the form that climate-related risks will take.These include what we call \"green swan\" risks: potentially extremely financially disruptive events that could be behind the next systemic financial crisis.Central banks have a role to play in avoiding such an outcome, including by seeking to improve their understanding of climaterelated risks through the development of forward-looking scenario-based analysis.But central banks alone cannot mitigate climate change.This complex collective action problem requires coordinating actions among many players including governments, the private sector, civil society and the international community.Central banks can therefore have an additional role to play in helping coordinate the measures to fight climate change.Those include climate mitigation policies such as carbon pricing, the integration of sustainability into financial practices and accounting frameworks, the search for appropriate policy mixes, and the development of new financial mechanisms at the international level.All these actions will be complex to coordinate and could have significant redistributive consequences that should be adequately handled, yet they are essential to preserve long-term financial (and price) stability in the age of climate change.Scientific knowledge is as much an understanding of the diversity of situations for which a theory or its models are relevant as an understanding of its limits.","author":[{"dropping-particle":"","family":"Riazanova","given":"Nadiia","non-dropping-particle":"","parse-names":false,"suffix":""}],"container-title":"Fìnansi Ukraïni","id":"ITEM-1","issue":"11","issued":{"date-parts":[["2023"]]},"page":"86-98","title":"European vector of the sustainable development – the guideline for corporate and public finance in Ukraine","type":"article-journal"},"uris":["http://www.mendeley.com/documents/?uuid=8de68dc8-5472-35d4-9556-fe402bfe2625"]},{"id":"ITEM-2","itemData":{"DOI":"10.2139/SSRN.2679090","abstract":"Historically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Journal","id":"ITEM-2","issued":{"date-parts":[["2015","10","23"]]},"number-of-pages":"52","publisher":"Elsevier BV","title":"Is Monetary Financing Inflationary? A Case Study of the Canadian Economy, 1935-75","type":"report"},"uris":["http://www.mendeley.com/documents/?uuid=804accf2-9032-3758-bcde-f1836393fa91"]}],"mendeley":{"formattedCitation":"(Riazanova, 2023; Ryan-Collins, 2015)","plainTextFormattedCitation":"(Riazanova, 2023; Ryan-Collins, 2015)","previouslyFormattedCitation":"(Riazanova, 2023; Ryan-Collins, 2015)"},"properties":{"noteIndex":0},"schema":"https://github.com/citation-style-language/schema/raw/master/csl-citation.json"}</w:instrText>
      </w:r>
      <w:r w:rsidR="00F71441">
        <w:rPr>
          <w:rFonts w:ascii="Times New Roman" w:eastAsiaTheme="majorEastAsia" w:hAnsi="Times New Roman" w:cs="Times New Roman"/>
          <w:sz w:val="24"/>
          <w:szCs w:val="24"/>
        </w:rPr>
        <w:fldChar w:fldCharType="separate"/>
      </w:r>
      <w:r w:rsidR="00F71441" w:rsidRPr="00F71441">
        <w:rPr>
          <w:rFonts w:ascii="Times New Roman" w:eastAsiaTheme="majorEastAsia" w:hAnsi="Times New Roman" w:cs="Times New Roman"/>
          <w:noProof/>
          <w:sz w:val="24"/>
          <w:szCs w:val="24"/>
        </w:rPr>
        <w:t>(Riazanova, 2023; Ryan-Collins, 2015)</w:t>
      </w:r>
      <w:r w:rsidR="00F71441">
        <w:rPr>
          <w:rFonts w:ascii="Times New Roman" w:eastAsiaTheme="majorEastAsia" w:hAnsi="Times New Roman" w:cs="Times New Roman"/>
          <w:sz w:val="24"/>
          <w:szCs w:val="24"/>
        </w:rPr>
        <w:fldChar w:fldCharType="end"/>
      </w:r>
      <w:r w:rsidR="002B0652">
        <w:rPr>
          <w:rFonts w:ascii="Times New Roman" w:eastAsiaTheme="majorEastAsia" w:hAnsi="Times New Roman" w:cs="Times New Roman"/>
          <w:sz w:val="24"/>
          <w:szCs w:val="24"/>
        </w:rPr>
        <w:t>.</w:t>
      </w:r>
      <w:r w:rsidR="006937AA" w:rsidRPr="006937AA">
        <w:rPr>
          <w:rFonts w:ascii="Times New Roman" w:eastAsiaTheme="majorEastAsia" w:hAnsi="Times New Roman" w:cs="Times New Roman"/>
          <w:sz w:val="24"/>
          <w:szCs w:val="24"/>
        </w:rPr>
        <w:t xml:space="preserve"> Contrarily, inflationary pressures can be increased by systems based on the principles of the fractional-reserve system, which is marked by credit cycles and expansion of liquidity, as well as speculative lending </w:t>
      </w:r>
      <w:r w:rsidR="002B0652">
        <w:rPr>
          <w:rFonts w:ascii="Times New Roman" w:eastAsiaTheme="majorEastAsia" w:hAnsi="Times New Roman" w:cs="Times New Roman"/>
          <w:sz w:val="24"/>
          <w:szCs w:val="24"/>
        </w:rPr>
        <w:fldChar w:fldCharType="begin" w:fldLock="1"/>
      </w:r>
      <w:r w:rsidR="002B0652">
        <w:rPr>
          <w:rFonts w:ascii="Times New Roman" w:eastAsiaTheme="majorEastAsia" w:hAnsi="Times New Roman" w:cs="Times New Roman"/>
          <w:sz w:val="24"/>
          <w:szCs w:val="24"/>
        </w:rPr>
        <w:instrText>ADDIN CSL_CITATION {"citationItems":[{"id":"ITEM-1","itemData":{"DOI":"10.1093/CJE/BEAD009","ISSN":"0309-166X","abstract":"This paper addresses the limitations of Modern Money Theory (MMT) as a guide to development policy. We explore two main questions on this topic: whether policies championed by MMT advocates (i) ought to be implemented in low- and middle-income economies and (ii) can be implemented. In relation to the first question, we argue that the MMT literature mischaracterises the essence of the development challenge for low- and middle-income economies. Our argument is that the chief long-run growth challenge faced by developing countries concerns structural transformation rather than general aggregate demand insufficiency. We use several formal representations of the consumption-investment trade-off in growth theory, found in the Harrod-Domar growth model, the Feldman-Mahalanobis model and Kalecki's 1963 growth model to illustrate this point. Concerning the second question, we argue that even if MMT had the correct diagnosis of the principal growth challenge faced by developing countries, its chief policy recommendations would likely be counter-productive if implemented outside of select advanced economies. We draw from the international economics literature on currency hierarchy and exchange rate volatility to illustrate this point.","author":[{"dropping-particle":"","family":"Aboobaker","given":"Adam","non-dropping-particle":"","parse-names":false,"suffix":""},{"dropping-particle":"","family":"Ugurlu","given":"Esra Nur","non-dropping-particle":"","parse-names":false,"suffix":""}],"container-title":"Cambridge Journal of Economics","id":"ITEM-1","issue":"3","issued":{"date-parts":[["2023","6","3"]]},"page":"555-574","publisher":"Oxford Academic","title":"Weaknesses of MMT as a guide to development policy","type":"article-journal","volume":"47"},"uris":["http://www.mendeley.com/documents/?uuid=bf5f24b2-d473-3ee2-afbc-9a310c4b1484"]},{"id":"ITEM-2","itemData":{"DOI":"10.1111/MECA.12325;JOURNAL:JOURNAL:1467999X;WGROUP:STRING:PUBLICATION","ISSN":"1467999X","abstract":"Sraffian supermultiplier models, as well as Kaleckian distribution and growth models that make use of non-capacity creating autonomous demand growth to cope with Harrodian instability, have paid little attention to the financial side of autonomous demand growth as the driver of the system. Therefore, we link the issue of Harrodian instability in Kaleckian models driven by non-capacity creating autonomous demand growth with the associated financial dynamics. For a simple model with autonomous government expenditure growth, zero interest rates and no consumption out of wealth, we find that adding debt dynamics does not change the results obtained by Skott (2017) based on Lavoie's (2016) model without debt, each published in this journal. Hence, in this simple model, the long-run equilibrium is stable if Harrodian instability is not too strong and the autonomous growth rate does not exceed a maximum given by the long-run equilibrium saving rate. Introducing interest payments on government debt as well as consumption out of wealth into the model, however, changes the stability requirements: First, the autonomous growth rate of government expenditures should not fall short of the exogenous monetary interest rate. Second, this growth rate should not exceed a maximum given by the saving rate in the long-run equilibrium net of the propensity to consume out of wealth. Third, Harrodian instability may be almost as strong as in the simple model without violating long-run overall stability, particularly if the propensity to consume out of wealth is low. We claim that irrespective of the relevance or irrelevance of Harrodian instability, it is necessary to introduce financial variables into models driven by non-capacity creating autonomous demand in order to assess the long-run (in-)stability and sustainability of growth.","author":[{"dropping-particle":"","family":"Hein","given":"Eckhard","non-dropping-particle":"","parse-names":false,"suffix":""},{"dropping-particle":"","family":"Woodgate","given":"Ryan","non-dropping-particle":"","parse-names":false,"suffix":""}],"container-title":"Metroeconomica","id":"ITEM-2","issue":"2","issued":{"date-parts":[["2020","5","1"]]},"page":"388-404","publisher":"John Wiley and Sons Inc","title":"Stability issues in Kaleckian models driven by autonomous demand growth—Harrodian instability and debt dynamics","type":"article-journal","volume":"72"},"uris":["http://www.mendeley.com/documents/?uuid=a7f71dfd-ebef-3162-b4fa-9d250c0d1692"]}],"mendeley":{"formattedCitation":"(Aboobaker &amp; Ugurlu, 2023; Hein &amp; Woodgate, 2020)","plainTextFormattedCitation":"(Aboobaker &amp; Ugurlu, 2023; Hein &amp; Woodgate, 2020)","previouslyFormattedCitation":"(Aboobaker &amp; Ugurlu, 2023; Hein &amp; Woodgate, 2020)"},"properties":{"noteIndex":0},"schema":"https://github.com/citation-style-language/schema/raw/master/csl-citation.json"}</w:instrText>
      </w:r>
      <w:r w:rsidR="002B0652">
        <w:rPr>
          <w:rFonts w:ascii="Times New Roman" w:eastAsiaTheme="majorEastAsia" w:hAnsi="Times New Roman" w:cs="Times New Roman"/>
          <w:sz w:val="24"/>
          <w:szCs w:val="24"/>
        </w:rPr>
        <w:fldChar w:fldCharType="separate"/>
      </w:r>
      <w:r w:rsidR="002B0652" w:rsidRPr="002B0652">
        <w:rPr>
          <w:rFonts w:ascii="Times New Roman" w:eastAsiaTheme="majorEastAsia" w:hAnsi="Times New Roman" w:cs="Times New Roman"/>
          <w:noProof/>
          <w:sz w:val="24"/>
          <w:szCs w:val="24"/>
        </w:rPr>
        <w:t>(Aboobaker &amp; Ugurlu, 2023; Hein &amp; Woodgate, 2020)</w:t>
      </w:r>
      <w:r w:rsidR="002B0652">
        <w:rPr>
          <w:rFonts w:ascii="Times New Roman" w:eastAsiaTheme="majorEastAsia" w:hAnsi="Times New Roman" w:cs="Times New Roman"/>
          <w:sz w:val="24"/>
          <w:szCs w:val="24"/>
        </w:rPr>
        <w:fldChar w:fldCharType="end"/>
      </w:r>
      <w:r w:rsidR="002B0652">
        <w:rPr>
          <w:rFonts w:ascii="Times New Roman" w:eastAsiaTheme="majorEastAsia" w:hAnsi="Times New Roman" w:cs="Times New Roman"/>
          <w:sz w:val="24"/>
          <w:szCs w:val="24"/>
        </w:rPr>
        <w:t>.</w:t>
      </w:r>
      <w:r w:rsidR="006937AA" w:rsidRPr="006937AA">
        <w:rPr>
          <w:rFonts w:ascii="Times New Roman" w:eastAsiaTheme="majorEastAsia" w:hAnsi="Times New Roman" w:cs="Times New Roman"/>
          <w:sz w:val="24"/>
          <w:szCs w:val="24"/>
          <w:highlight w:val="yellow"/>
        </w:rPr>
        <w:t xml:space="preserve"> </w:t>
      </w:r>
    </w:p>
    <w:p w14:paraId="3A6D7A0C" w14:textId="14EFEB8A" w:rsidR="006937AA" w:rsidRDefault="006937AA" w:rsidP="001A2E76">
      <w:pPr>
        <w:spacing w:before="240" w:line="240" w:lineRule="auto"/>
        <w:jc w:val="both"/>
        <w:rPr>
          <w:rFonts w:ascii="Times New Roman" w:eastAsiaTheme="majorEastAsia" w:hAnsi="Times New Roman" w:cs="Times New Roman"/>
          <w:sz w:val="24"/>
          <w:szCs w:val="24"/>
        </w:rPr>
      </w:pPr>
      <w:r w:rsidRPr="006937AA">
        <w:rPr>
          <w:rFonts w:ascii="Times New Roman" w:eastAsiaTheme="majorEastAsia" w:hAnsi="Times New Roman" w:cs="Times New Roman"/>
          <w:sz w:val="24"/>
          <w:szCs w:val="24"/>
        </w:rPr>
        <w:lastRenderedPageBreak/>
        <w:t>In the conceptual SFC framework, sovereign money issue minimizes pass-through of interest costs, restricts pro-cyclical credit growth and decreases the difference between money supply growth and real output. These processes make it possible to have more stable inflationary dynamics in the medium run. The findings however also indicate that the moderation of inflation is also conditional on institutional protection and productive state expenditure. Thus, the analysis does not indicate the level of numerical inflation changes but rather indicates the direction of change.</w:t>
      </w:r>
    </w:p>
    <w:p w14:paraId="0928D3EE" w14:textId="31879BB7" w:rsidR="006F6EB2" w:rsidRPr="003F79AD" w:rsidRDefault="006F6EB2" w:rsidP="001A2E76">
      <w:pPr>
        <w:spacing w:before="240" w:line="240" w:lineRule="auto"/>
        <w:jc w:val="both"/>
        <w:rPr>
          <w:rFonts w:ascii="Times New Roman" w:eastAsiaTheme="majorEastAsia" w:hAnsi="Times New Roman" w:cs="Times New Roman"/>
          <w:i/>
          <w:iCs/>
          <w:sz w:val="24"/>
          <w:szCs w:val="24"/>
          <w:lang w:val="en-PK"/>
        </w:rPr>
      </w:pPr>
      <w:r w:rsidRPr="003F79AD">
        <w:rPr>
          <w:rFonts w:ascii="Times New Roman" w:eastAsiaTheme="majorEastAsia" w:hAnsi="Times New Roman" w:cs="Times New Roman"/>
          <w:i/>
          <w:iCs/>
          <w:sz w:val="24"/>
          <w:szCs w:val="24"/>
          <w:lang w:val="en-PK"/>
        </w:rPr>
        <w:t>4.3 Seigniorage, Fiscal Space, and Public Investment</w:t>
      </w:r>
    </w:p>
    <w:p w14:paraId="4F9A0C74" w14:textId="5AA90430" w:rsidR="004C11F0" w:rsidRPr="002B0652" w:rsidRDefault="004C11F0" w:rsidP="001A2E76">
      <w:pPr>
        <w:spacing w:before="240" w:line="240" w:lineRule="auto"/>
        <w:jc w:val="both"/>
        <w:rPr>
          <w:rFonts w:ascii="Times New Roman" w:eastAsiaTheme="majorEastAsia" w:hAnsi="Times New Roman" w:cs="Times New Roman"/>
          <w:sz w:val="24"/>
          <w:szCs w:val="24"/>
          <w:highlight w:val="yellow"/>
        </w:rPr>
      </w:pPr>
      <w:r w:rsidRPr="004C11F0">
        <w:rPr>
          <w:rFonts w:ascii="Times New Roman" w:eastAsiaTheme="majorEastAsia" w:hAnsi="Times New Roman" w:cs="Times New Roman"/>
          <w:sz w:val="24"/>
          <w:szCs w:val="24"/>
        </w:rPr>
        <w:t xml:space="preserve">A key finding of the comparative analysis is that there is a significant disparity in the distribution of seigniorage within monetary regimes. In fractional-reserve banking, commercial banks are the ones that take the majority of </w:t>
      </w:r>
      <w:r w:rsidRPr="002B0652">
        <w:rPr>
          <w:rFonts w:ascii="Times New Roman" w:eastAsiaTheme="majorEastAsia" w:hAnsi="Times New Roman" w:cs="Times New Roman"/>
          <w:sz w:val="24"/>
          <w:szCs w:val="24"/>
        </w:rPr>
        <w:t xml:space="preserve">seigniorage by means of credit creation and maturity conversion. Research by </w:t>
      </w:r>
      <w:r w:rsidR="002B0652" w:rsidRPr="002B0652">
        <w:rPr>
          <w:rFonts w:ascii="Times New Roman" w:eastAsiaTheme="majorEastAsia" w:hAnsi="Times New Roman" w:cs="Times New Roman"/>
          <w:sz w:val="24"/>
          <w:szCs w:val="24"/>
        </w:rPr>
        <w:fldChar w:fldCharType="begin" w:fldLock="1"/>
      </w:r>
      <w:r w:rsidR="002B0652" w:rsidRPr="002B0652">
        <w:rPr>
          <w:rFonts w:ascii="Times New Roman" w:eastAsiaTheme="majorEastAsia" w:hAnsi="Times New Roman" w:cs="Times New Roman"/>
          <w:sz w:val="24"/>
          <w:szCs w:val="24"/>
        </w:rPr>
        <w:instrText>ADDIN CSL_CITATION {"citationItems":[{"id":"ITEM-1","itemData":{"abstract":"We raise fundamental questions about macroeconomics relevant to escaping the financial-economic crisis and shifting to a sustainable economy. First, the feasibility of decoupling environmental pressure from aggregate income is considered. Decoupling as a single environmental strategy is found to be very risky. Next, three main arguments for economic growth are examined: growth as progress, growth to avoid economic instability, and growth to offset unemployment due to labor productivity improvements. For each, we offer orthodox, heterodox and new responses. Attention is paid to progress indicators, feedback mechanisms affecting business cycles, and strategies to limit unemployment without the need for growth. Besides offering an economy-wide angle, we discuss the role of housing and mortgage markets in economic cyclicality. Finally, interactions between real economic and financial–monetary spheres are studied. This includes money creation, capital allocation and trade-offs between efficiency and operating costs of financial systems. Throughout, environmental and transition implications are outlined.","author":[{"dropping-particle":"","family":"Antal","given":"Miklós","non-dropping-particle":"","parse-names":false,"suffix":""},{"dropping-particle":"van den","family":"Bergh","given":"Jeroen C.J.M.","non-dropping-particle":"","parse-names":false,"suffix":""}],"container-title":"Environmental Innovation and Societal Transitions","id":"ITEM-1","issued":{"date-parts":[["2013"]]},"page":"47-66","title":"Macroeconomics, financial crisis and the environment: Strategies for a sustainability transition Macroeconomics, financial crisis and the environment: Strategies for a sustainability transition","type":"article-journal","volume":"6"},"uris":["http://www.mendeley.com/documents/?uuid=0af5de9d-bb3f-3124-bfa1-2ea54fa32cb6"]}],"mendeley":{"formattedCitation":"(Antal &amp; Bergh, 2013)","manualFormatting":"Antal &amp; Bergh (2013)","plainTextFormattedCitation":"(Antal &amp; Bergh, 2013)","previouslyFormattedCitation":"(Antal &amp; Bergh, 2013)"},"properties":{"noteIndex":0},"schema":"https://github.com/citation-style-language/schema/raw/master/csl-citation.json"}</w:instrText>
      </w:r>
      <w:r w:rsidR="002B0652" w:rsidRPr="002B0652">
        <w:rPr>
          <w:rFonts w:ascii="Times New Roman" w:eastAsiaTheme="majorEastAsia" w:hAnsi="Times New Roman" w:cs="Times New Roman"/>
          <w:sz w:val="24"/>
          <w:szCs w:val="24"/>
        </w:rPr>
        <w:fldChar w:fldCharType="separate"/>
      </w:r>
      <w:r w:rsidR="002B0652" w:rsidRPr="002B0652">
        <w:rPr>
          <w:rFonts w:ascii="Times New Roman" w:eastAsiaTheme="majorEastAsia" w:hAnsi="Times New Roman" w:cs="Times New Roman"/>
          <w:noProof/>
          <w:sz w:val="24"/>
          <w:szCs w:val="24"/>
        </w:rPr>
        <w:t>Antal &amp; Bergh (2013)</w:t>
      </w:r>
      <w:r w:rsidR="002B0652" w:rsidRPr="002B0652">
        <w:rPr>
          <w:rFonts w:ascii="Times New Roman" w:eastAsiaTheme="majorEastAsia" w:hAnsi="Times New Roman" w:cs="Times New Roman"/>
          <w:sz w:val="24"/>
          <w:szCs w:val="24"/>
        </w:rPr>
        <w:fldChar w:fldCharType="end"/>
      </w:r>
      <w:r w:rsidRPr="002B0652">
        <w:rPr>
          <w:rFonts w:ascii="Times New Roman" w:eastAsiaTheme="majorEastAsia" w:hAnsi="Times New Roman" w:cs="Times New Roman"/>
          <w:sz w:val="24"/>
          <w:szCs w:val="24"/>
        </w:rPr>
        <w:t xml:space="preserve"> and </w:t>
      </w:r>
      <w:r w:rsidR="002B0652" w:rsidRPr="002B0652">
        <w:rPr>
          <w:rFonts w:ascii="Times New Roman" w:eastAsiaTheme="majorEastAsia" w:hAnsi="Times New Roman" w:cs="Times New Roman"/>
          <w:sz w:val="24"/>
          <w:szCs w:val="24"/>
        </w:rPr>
        <w:fldChar w:fldCharType="begin" w:fldLock="1"/>
      </w:r>
      <w:r w:rsidR="002B0652">
        <w:rPr>
          <w:rFonts w:ascii="Times New Roman" w:eastAsiaTheme="majorEastAsia" w:hAnsi="Times New Roman" w:cs="Times New Roman"/>
          <w:sz w:val="24"/>
          <w:szCs w:val="24"/>
        </w:rPr>
        <w:instrText>ADDIN CSL_CITATION {"citationItems":[{"id":"ITEM-1","itemData":{"author":[{"dropping-particle":"","family":"Macfarlane","given":"Laurie","non-dropping-particle":"","parse-names":false,"suffix":""},{"dropping-particle":"","family":"Ryan-Collins","given":"Josh","non-dropping-particle":"","parse-names":false,"suffix":""},{"dropping-particle":"","family":"Bjerg","given":"Ole","non-dropping-particle":"","parse-names":false,"suffix":""},{"dropping-particle":"","family":"McCann","given":"Rasmus Hougaard Nielsen Duncan","non-dropping-particle":"","parse-names":false,"suffix":""}],"id":"ITEM-1","issued":{"date-parts":[["2017","1","1"]]},"title":"Making Money from Making Money : Seigniorage in the Modern Economy","type":"report"},"uris":["http://www.mendeley.com/documents/?uuid=4aae920d-b084-3e54-b6f7-080aef2f433b"]}],"mendeley":{"formattedCitation":"(Macfarlane et al., 2017)","manualFormatting":"Macfarlane et al. (2017)","plainTextFormattedCitation":"(Macfarlane et al., 2017)","previouslyFormattedCitation":"(Macfarlane et al., 2017)"},"properties":{"noteIndex":0},"schema":"https://github.com/citation-style-language/schema/raw/master/csl-citation.json"}</w:instrText>
      </w:r>
      <w:r w:rsidR="002B0652" w:rsidRPr="002B0652">
        <w:rPr>
          <w:rFonts w:ascii="Times New Roman" w:eastAsiaTheme="majorEastAsia" w:hAnsi="Times New Roman" w:cs="Times New Roman"/>
          <w:sz w:val="24"/>
          <w:szCs w:val="24"/>
        </w:rPr>
        <w:fldChar w:fldCharType="separate"/>
      </w:r>
      <w:r w:rsidR="002B0652" w:rsidRPr="002B0652">
        <w:rPr>
          <w:rFonts w:ascii="Times New Roman" w:eastAsiaTheme="majorEastAsia" w:hAnsi="Times New Roman" w:cs="Times New Roman"/>
          <w:noProof/>
          <w:sz w:val="24"/>
          <w:szCs w:val="24"/>
        </w:rPr>
        <w:t>Macfarlane et al. (2017)</w:t>
      </w:r>
      <w:r w:rsidR="002B0652" w:rsidRPr="002B0652">
        <w:rPr>
          <w:rFonts w:ascii="Times New Roman" w:eastAsiaTheme="majorEastAsia" w:hAnsi="Times New Roman" w:cs="Times New Roman"/>
          <w:sz w:val="24"/>
          <w:szCs w:val="24"/>
        </w:rPr>
        <w:fldChar w:fldCharType="end"/>
      </w:r>
      <w:r w:rsidR="002B0652" w:rsidRPr="002B0652">
        <w:rPr>
          <w:rFonts w:ascii="Times New Roman" w:eastAsiaTheme="majorEastAsia" w:hAnsi="Times New Roman" w:cs="Times New Roman"/>
          <w:sz w:val="24"/>
          <w:szCs w:val="24"/>
        </w:rPr>
        <w:t xml:space="preserve"> </w:t>
      </w:r>
      <w:r w:rsidR="00037DF7" w:rsidRPr="002B0652">
        <w:rPr>
          <w:rFonts w:ascii="Times New Roman" w:eastAsiaTheme="majorEastAsia" w:hAnsi="Times New Roman" w:cs="Times New Roman"/>
          <w:sz w:val="24"/>
          <w:szCs w:val="24"/>
        </w:rPr>
        <w:t>indicate</w:t>
      </w:r>
      <w:r w:rsidRPr="004C11F0">
        <w:rPr>
          <w:rFonts w:ascii="Times New Roman" w:eastAsiaTheme="majorEastAsia" w:hAnsi="Times New Roman" w:cs="Times New Roman"/>
          <w:sz w:val="24"/>
          <w:szCs w:val="24"/>
        </w:rPr>
        <w:t xml:space="preserve"> that this restricts fiscal space of the state and moves economic rents to financial intermediaries.</w:t>
      </w:r>
    </w:p>
    <w:p w14:paraId="6A8506F2" w14:textId="0EFEAFCB" w:rsidR="006F6EB2" w:rsidRPr="002B0652" w:rsidRDefault="006F6EB2" w:rsidP="001A2E76">
      <w:pPr>
        <w:spacing w:before="240" w:line="240" w:lineRule="auto"/>
        <w:jc w:val="both"/>
        <w:rPr>
          <w:rFonts w:ascii="Times New Roman" w:eastAsiaTheme="majorEastAsia" w:hAnsi="Times New Roman" w:cs="Times New Roman"/>
          <w:sz w:val="24"/>
          <w:szCs w:val="24"/>
        </w:rPr>
      </w:pPr>
      <w:r w:rsidRPr="002B0652">
        <w:rPr>
          <w:rFonts w:ascii="Times New Roman" w:eastAsiaTheme="majorEastAsia" w:hAnsi="Times New Roman" w:cs="Times New Roman"/>
          <w:sz w:val="24"/>
          <w:szCs w:val="24"/>
        </w:rPr>
        <w:t>In a full-reserve or sovereign-money system, seigniorage returns to the public sector because money creation becomes a state function. This allows governments to direct monetary gains toward public investment, infrastructure, and social spending without requiring additional taxation or borrowing. Evidence from Islamic finance systems</w:t>
      </w:r>
      <w:r w:rsidR="000B7D55" w:rsidRPr="002B0652">
        <w:rPr>
          <w:rFonts w:ascii="Times New Roman" w:eastAsiaTheme="majorEastAsia" w:hAnsi="Times New Roman" w:cs="Times New Roman"/>
          <w:sz w:val="24"/>
          <w:szCs w:val="24"/>
        </w:rPr>
        <w:t xml:space="preserve"> </w:t>
      </w:r>
      <w:r w:rsidRPr="002B0652">
        <w:rPr>
          <w:rFonts w:ascii="Times New Roman" w:eastAsiaTheme="majorEastAsia" w:hAnsi="Times New Roman" w:cs="Times New Roman"/>
          <w:sz w:val="24"/>
          <w:szCs w:val="24"/>
        </w:rPr>
        <w:t>which rely on non-interest instruments and profit-sharing arrangements</w:t>
      </w:r>
      <w:r w:rsidR="000B7D55" w:rsidRPr="002B0652">
        <w:rPr>
          <w:rFonts w:ascii="Times New Roman" w:eastAsiaTheme="majorEastAsia" w:hAnsi="Times New Roman" w:cs="Times New Roman"/>
          <w:sz w:val="24"/>
          <w:szCs w:val="24"/>
        </w:rPr>
        <w:t xml:space="preserve"> </w:t>
      </w:r>
      <w:r w:rsidRPr="002B0652">
        <w:rPr>
          <w:rFonts w:ascii="Times New Roman" w:eastAsiaTheme="majorEastAsia" w:hAnsi="Times New Roman" w:cs="Times New Roman"/>
          <w:sz w:val="24"/>
          <w:szCs w:val="24"/>
        </w:rPr>
        <w:t xml:space="preserve">corroborates the potential for expanded fiscal capacity within riba-free environments </w:t>
      </w:r>
      <w:r w:rsidR="002B0652">
        <w:rPr>
          <w:rFonts w:ascii="Times New Roman" w:eastAsiaTheme="majorEastAsia" w:hAnsi="Times New Roman" w:cs="Times New Roman"/>
          <w:sz w:val="24"/>
          <w:szCs w:val="24"/>
        </w:rPr>
        <w:fldChar w:fldCharType="begin" w:fldLock="1"/>
      </w:r>
      <w:r w:rsidR="002B0652">
        <w:rPr>
          <w:rFonts w:ascii="Times New Roman" w:eastAsiaTheme="majorEastAsia" w:hAnsi="Times New Roman" w:cs="Times New Roman"/>
          <w:sz w:val="24"/>
          <w:szCs w:val="24"/>
        </w:rPr>
        <w:instrText>ADDIN CSL_CITATION {"citationItems":[{"id":"ITEM-1","itemData":{"DOI":"10.2139/SSRN.3348465","abstract":"It is widely known that in a fiat currency system, governments can create money tokens to meet public expenditure, then take some of them back through taxation or bond issue to adjust the money supply to a desired level. Yet the treasury departments in most countries strive to formulate fiscal policies in an attempt to match taxation with public expenditure while, at the same time, the central banks use monetary policy instruments for regulating money supply. The key question addressed in this research is whether the policies of the treasury departments and central banks are relevant to the functioning of the present-day economies where fiat currency is supposed to facilitate transactions rather than being a commodity. A parsimonious model of the macroeconomic system subsuming also the fiscal and monetary interventions is presented. The model is then used to understand the relevance of taxation to fiat money and to explore alternative policy levers for funding public expenditure and regulating money supply while delinking expenditure from taxation. It is proposed thatÂ the public spending can be entirely funded through deficits, while taxation together with open market operations is used as inflation control instruments. Control mechanisms for driving taxation and open market operations are explored.","author":[{"dropping-particle":"","family":"Saeed","given":"Khalid","non-dropping-particle":"","parse-names":false,"suffix":""}],"container-title":"SSRN Electronic Journal","id":"ITEM-1","issued":{"date-parts":[["2019","3","4"]]},"publisher":"Elsevier BV","title":"Unlinking Public Finance and Taxation in a Fiat Currency System","type":"article-journal"},"uris":["http://www.mendeley.com/documents/?uuid=4d3460c4-fd4c-3148-9e8f-ea304a4262f7"]},{"id":"ITEM-2","itemData":{"DOI":"10.1016/J.JMACRO.2020.103281","ISSN":"0164-0704","abstract":"Countries have significantly increased their public-sector borrowing since the Global Financial Crisis. As a consequence, monetary authorities may face pressure to deviate from their policy targets in ways designed to ease the debt burden. In view of this consideration, we test for greater fiscal dominance over 2000-2017 under Inflation Targeting (IT) and non-IT regimes. We find that evidence of fiscal dominance varies across countries and debt configurations. Higher ratios of public debt-to-GDP may appear associated with lower policy interest rates in advanced economies. However, a declining natural rate of interest largely explains the pattern of lower rates and higher debt in these countries. The most robust evidence of fiscal dominance lies among emerging markets under non-IT regimes, composed mostly of exchange rate targeters. For these countries, policy interest rates are non-linearly associated with public debt levels, depending on both the level of hard-currency public debt-to-GDP and the currency composition of public debt. We also show that emerging market economies with greater exchange rate volatility, inflation volatility, and underlying commodity exposure exhibit stronger associations between public debt and policy interest rates.","author":[{"dropping-particle":"","family":"Ahmed","given":"Rashad","non-dropping-particle":"","parse-names":false,"suffix":""},{"dropping-particle":"","family":"Aizenman","given":"Joshua","non-dropping-particle":"","parse-names":false,"suffix":""},{"dropping-particle":"","family":"Jinjarak","given":"Yothin","non-dropping-particle":"","parse-names":false,"suffix":""}],"container-title":"Journal of Macroeconomics","id":"ITEM-2","issued":{"date-parts":[["2021","3","1"]]},"page":"103281","publisher":"North-Holland","title":"Inflation and Exchange Rate Targeting Challenges Under Fiscal Dominance","type":"article-journal","volume":"67"},"uris":["http://www.mendeley.com/documents/?uuid=648a9b82-67a9-3b3a-9e4f-86211e859264"]}],"mendeley":{"formattedCitation":"(Ahmed et al., 2021; Saeed, 2019)","plainTextFormattedCitation":"(Ahmed et al., 2021; Saeed, 2019)","previouslyFormattedCitation":"(Ahmed et al., 2021; Saeed, 2019)"},"properties":{"noteIndex":0},"schema":"https://github.com/citation-style-language/schema/raw/master/csl-citation.json"}</w:instrText>
      </w:r>
      <w:r w:rsidR="002B0652">
        <w:rPr>
          <w:rFonts w:ascii="Times New Roman" w:eastAsiaTheme="majorEastAsia" w:hAnsi="Times New Roman" w:cs="Times New Roman"/>
          <w:sz w:val="24"/>
          <w:szCs w:val="24"/>
        </w:rPr>
        <w:fldChar w:fldCharType="separate"/>
      </w:r>
      <w:r w:rsidR="002B0652" w:rsidRPr="002B0652">
        <w:rPr>
          <w:rFonts w:ascii="Times New Roman" w:eastAsiaTheme="majorEastAsia" w:hAnsi="Times New Roman" w:cs="Times New Roman"/>
          <w:noProof/>
          <w:sz w:val="24"/>
          <w:szCs w:val="24"/>
        </w:rPr>
        <w:t>(Ahmed et al., 2021; Saeed, 2019)</w:t>
      </w:r>
      <w:r w:rsidR="002B0652">
        <w:rPr>
          <w:rFonts w:ascii="Times New Roman" w:eastAsiaTheme="majorEastAsia" w:hAnsi="Times New Roman" w:cs="Times New Roman"/>
          <w:sz w:val="24"/>
          <w:szCs w:val="24"/>
        </w:rPr>
        <w:fldChar w:fldCharType="end"/>
      </w:r>
      <w:r w:rsidR="002B0652">
        <w:rPr>
          <w:rFonts w:ascii="Times New Roman" w:eastAsiaTheme="majorEastAsia" w:hAnsi="Times New Roman" w:cs="Times New Roman"/>
          <w:sz w:val="24"/>
          <w:szCs w:val="24"/>
        </w:rPr>
        <w:t>.</w:t>
      </w:r>
    </w:p>
    <w:p w14:paraId="0C6859D8" w14:textId="77777777" w:rsidR="006F6EB2" w:rsidRPr="002B0652" w:rsidRDefault="006F6EB2" w:rsidP="001A2E76">
      <w:pPr>
        <w:spacing w:before="240" w:line="240" w:lineRule="auto"/>
        <w:jc w:val="both"/>
        <w:rPr>
          <w:rFonts w:ascii="Times New Roman" w:eastAsiaTheme="majorEastAsia" w:hAnsi="Times New Roman" w:cs="Times New Roman"/>
          <w:sz w:val="24"/>
          <w:szCs w:val="24"/>
        </w:rPr>
      </w:pPr>
      <w:r w:rsidRPr="002B0652">
        <w:rPr>
          <w:rFonts w:ascii="Times New Roman" w:eastAsiaTheme="majorEastAsia" w:hAnsi="Times New Roman" w:cs="Times New Roman"/>
          <w:sz w:val="24"/>
          <w:szCs w:val="24"/>
        </w:rPr>
        <w:t>The results therefore indicate that sovereign money issuance can meaningfully increase fiscal space, reduce reliance on private banking liquidity, and support long-term development goals. However, real-world implementation would depend on monetary governance, institutional capacity, and the productivity of spending allocations.</w:t>
      </w:r>
    </w:p>
    <w:p w14:paraId="1A4B6479" w14:textId="77777777" w:rsidR="006F6EB2" w:rsidRPr="003F79AD" w:rsidRDefault="006F6EB2" w:rsidP="001A2E76">
      <w:pPr>
        <w:spacing w:before="240" w:line="240" w:lineRule="auto"/>
        <w:jc w:val="both"/>
        <w:rPr>
          <w:rFonts w:ascii="Times New Roman" w:eastAsiaTheme="majorEastAsia" w:hAnsi="Times New Roman" w:cs="Times New Roman"/>
          <w:i/>
          <w:iCs/>
          <w:sz w:val="24"/>
          <w:szCs w:val="24"/>
          <w:lang w:val="en-PK"/>
        </w:rPr>
      </w:pPr>
      <w:r w:rsidRPr="003F79AD">
        <w:rPr>
          <w:rFonts w:ascii="Times New Roman" w:eastAsiaTheme="majorEastAsia" w:hAnsi="Times New Roman" w:cs="Times New Roman"/>
          <w:i/>
          <w:iCs/>
          <w:sz w:val="24"/>
          <w:szCs w:val="24"/>
          <w:lang w:val="en-PK"/>
        </w:rPr>
        <w:t>4.4 Implications for Financial Stability</w:t>
      </w:r>
    </w:p>
    <w:p w14:paraId="29667744" w14:textId="057B8D5F" w:rsidR="007403C6" w:rsidRPr="007403C6" w:rsidRDefault="007403C6" w:rsidP="001A2E76">
      <w:pPr>
        <w:spacing w:before="240" w:line="240" w:lineRule="auto"/>
        <w:jc w:val="both"/>
        <w:rPr>
          <w:rFonts w:ascii="Times New Roman" w:eastAsiaTheme="majorEastAsia" w:hAnsi="Times New Roman" w:cs="Times New Roman"/>
          <w:sz w:val="24"/>
          <w:szCs w:val="24"/>
        </w:rPr>
      </w:pPr>
      <w:r w:rsidRPr="007403C6">
        <w:rPr>
          <w:rFonts w:ascii="Times New Roman" w:eastAsiaTheme="majorEastAsia" w:hAnsi="Times New Roman" w:cs="Times New Roman"/>
          <w:sz w:val="24"/>
          <w:szCs w:val="24"/>
        </w:rPr>
        <w:t xml:space="preserve">The comparative outcomes also indicate differences in the implications of financial-stability. Fractional-reserve systems make leverage-driven credit booms, speculative investments in assets, and pro-cyclical lending-related factors, which are linked to volatility and the risk of crisis, possible </w:t>
      </w:r>
      <w:r w:rsidR="002B0652">
        <w:rPr>
          <w:rFonts w:ascii="Times New Roman" w:eastAsiaTheme="majorEastAsia" w:hAnsi="Times New Roman" w:cs="Times New Roman"/>
          <w:sz w:val="24"/>
          <w:szCs w:val="24"/>
        </w:rPr>
        <w:fldChar w:fldCharType="begin" w:fldLock="1"/>
      </w:r>
      <w:r w:rsidR="002B0652">
        <w:rPr>
          <w:rFonts w:ascii="Times New Roman" w:eastAsiaTheme="majorEastAsia" w:hAnsi="Times New Roman" w:cs="Times New Roman"/>
          <w:sz w:val="24"/>
          <w:szCs w:val="24"/>
        </w:rPr>
        <w:instrText>ADDIN CSL_CITATION {"citationItems":[{"id":"ITEM-1","itemData":{"DOI":"10.2139/SSRN.2820597","abstract":"This study analyzes the effect of a money-financed policy for fiscal reform. We introduce a realistic setting in which real output is not given by an exogenous variable, but is determined by effective demand in a monetary growth model. Using this model, we compare the effects of the money-financed policy for fiscal reform with the effects of various policies to prevent increasing fiscal deficit. We conclude that the money-financed policy is the most desirable from the viewpoint of curbing the fiscal deficit and raising gross domestic product.","author":[{"dropping-particle":"","family":"Aoki","given":"Masaru","non-dropping-particle":"","parse-names":false,"suffix":""}],"container-title":"SSRN Electronic Journal","id":"ITEM-1","issued":{"date-parts":[["2016","8","9"]]},"publisher":"Elsevier BV","title":"The Effect of Money-Financed Policy for Fiscal Reform","type":"article-journal"},"uris":["http://www.mendeley.com/documents/?uuid=8db828dc-fa45-30e4-8b3e-98e8fe1c7b5a"]},{"id":"ITEM-2","itemData":{"DOI":"10.1007/S10272-021-1014-5","ISBN":"1027202110145","ISSN":"1613-964X","abstract":"In the last few years, the so-called Modern Monetary Theory (MMT) has been gaining prominence in the media and the public. This article presents the MMT approach to money and monetary policy, and discusses its recommendations regarding fiscal policy and aggregate demand management, the structural policies it advocates as well as the international aspects of MMT. Overall, it appears that MMT is based on an outdated state of economic science and that its claims regarding economic policies are much exaggerated: The meaning of MMT is more that of a political manifesto than of a genuine economic theory.","author":[{"dropping-particle":"","family":"Drumetz","given":"Françoise","non-dropping-particle":"","parse-names":false,"suffix":""},{"dropping-particle":"","family":"Pfister","given":"Christian","non-dropping-particle":"","parse-names":false,"suffix":""}],"container-title":"Intereconomics 2021 56:6","id":"ITEM-2","issue":"6","issued":{"date-parts":[["2021","12","11"]]},"page":"355-361","publisher":"Springer","title":"Modern Monetary Theory: A Wrong Compass for Decision-Making","type":"article-journal","volume":"56"},"uris":["http://www.mendeley.com/documents/?uuid=bc75937b-33fd-3788-b16f-cf211a47191b"]}],"mendeley":{"formattedCitation":"(Aoki, 2016; Drumetz &amp; Pfister, 2021)","plainTextFormattedCitation":"(Aoki, 2016; Drumetz &amp; Pfister, 2021)","previouslyFormattedCitation":"(Aoki, 2016; Drumetz &amp; Pfister, 2021)"},"properties":{"noteIndex":0},"schema":"https://github.com/citation-style-language/schema/raw/master/csl-citation.json"}</w:instrText>
      </w:r>
      <w:r w:rsidR="002B0652">
        <w:rPr>
          <w:rFonts w:ascii="Times New Roman" w:eastAsiaTheme="majorEastAsia" w:hAnsi="Times New Roman" w:cs="Times New Roman"/>
          <w:sz w:val="24"/>
          <w:szCs w:val="24"/>
        </w:rPr>
        <w:fldChar w:fldCharType="separate"/>
      </w:r>
      <w:r w:rsidR="002B0652" w:rsidRPr="002B0652">
        <w:rPr>
          <w:rFonts w:ascii="Times New Roman" w:eastAsiaTheme="majorEastAsia" w:hAnsi="Times New Roman" w:cs="Times New Roman"/>
          <w:noProof/>
          <w:sz w:val="24"/>
          <w:szCs w:val="24"/>
        </w:rPr>
        <w:t>(Aoki, 2016; Drumetz &amp; Pfister, 2021)</w:t>
      </w:r>
      <w:r w:rsidR="002B0652">
        <w:rPr>
          <w:rFonts w:ascii="Times New Roman" w:eastAsiaTheme="majorEastAsia" w:hAnsi="Times New Roman" w:cs="Times New Roman"/>
          <w:sz w:val="24"/>
          <w:szCs w:val="24"/>
        </w:rPr>
        <w:fldChar w:fldCharType="end"/>
      </w:r>
      <w:r w:rsidR="00CB6DEB">
        <w:rPr>
          <w:rFonts w:ascii="Times New Roman" w:eastAsiaTheme="majorEastAsia" w:hAnsi="Times New Roman" w:cs="Times New Roman"/>
          <w:sz w:val="24"/>
          <w:szCs w:val="24"/>
        </w:rPr>
        <w:t>.</w:t>
      </w:r>
      <w:r w:rsidRPr="007403C6">
        <w:rPr>
          <w:rFonts w:ascii="Times New Roman" w:eastAsiaTheme="majorEastAsia" w:hAnsi="Times New Roman" w:cs="Times New Roman"/>
          <w:sz w:val="24"/>
          <w:szCs w:val="24"/>
        </w:rPr>
        <w:t xml:space="preserve"> Full-reserve structures, </w:t>
      </w:r>
      <w:r w:rsidR="002B0652" w:rsidRPr="007403C6">
        <w:rPr>
          <w:rFonts w:ascii="Times New Roman" w:eastAsiaTheme="majorEastAsia" w:hAnsi="Times New Roman" w:cs="Times New Roman"/>
          <w:sz w:val="24"/>
          <w:szCs w:val="24"/>
        </w:rPr>
        <w:t>in</w:t>
      </w:r>
      <w:r w:rsidR="002B0652">
        <w:rPr>
          <w:rFonts w:ascii="Times New Roman" w:eastAsiaTheme="majorEastAsia" w:hAnsi="Times New Roman" w:cs="Times New Roman"/>
          <w:sz w:val="24"/>
          <w:szCs w:val="24"/>
        </w:rPr>
        <w:t xml:space="preserve"> contrast</w:t>
      </w:r>
      <w:r w:rsidRPr="007403C6">
        <w:rPr>
          <w:rFonts w:ascii="Times New Roman" w:eastAsiaTheme="majorEastAsia" w:hAnsi="Times New Roman" w:cs="Times New Roman"/>
          <w:sz w:val="24"/>
          <w:szCs w:val="24"/>
        </w:rPr>
        <w:t xml:space="preserve">, restrict the capacity of banks to issue money by lending and make the system less susceptible to liquidity crises or bank runs. </w:t>
      </w:r>
    </w:p>
    <w:p w14:paraId="53B2DC61" w14:textId="6B1EC2DC" w:rsidR="00F436F7" w:rsidRPr="007403C6" w:rsidRDefault="007403C6" w:rsidP="001A2E76">
      <w:pPr>
        <w:spacing w:before="240" w:line="240" w:lineRule="auto"/>
        <w:jc w:val="both"/>
        <w:rPr>
          <w:rFonts w:ascii="Times New Roman" w:eastAsiaTheme="majorEastAsia" w:hAnsi="Times New Roman" w:cs="Times New Roman"/>
          <w:sz w:val="24"/>
          <w:szCs w:val="24"/>
        </w:rPr>
      </w:pPr>
      <w:r w:rsidRPr="007403C6">
        <w:rPr>
          <w:rFonts w:ascii="Times New Roman" w:eastAsiaTheme="majorEastAsia" w:hAnsi="Times New Roman" w:cs="Times New Roman"/>
          <w:sz w:val="24"/>
          <w:szCs w:val="24"/>
        </w:rPr>
        <w:t xml:space="preserve">Modern digital infrastructure supported by the sovereign-money systems, including CBDCs, can also increase the transparency, minimize settlement risk, and enhance the transmission of monetary policy </w:t>
      </w:r>
      <w:r w:rsidR="00CB6DEB">
        <w:rPr>
          <w:rFonts w:ascii="Times New Roman" w:eastAsiaTheme="majorEastAsia" w:hAnsi="Times New Roman" w:cs="Times New Roman"/>
          <w:sz w:val="24"/>
          <w:szCs w:val="24"/>
        </w:rPr>
        <w:fldChar w:fldCharType="begin" w:fldLock="1"/>
      </w:r>
      <w:r w:rsidR="00CB6DEB">
        <w:rPr>
          <w:rFonts w:ascii="Times New Roman" w:eastAsiaTheme="majorEastAsia" w:hAnsi="Times New Roman" w:cs="Times New Roman"/>
          <w:sz w:val="24"/>
          <w:szCs w:val="24"/>
        </w:rPr>
        <w:instrText>ADDIN CSL_CITATION {"citationItems":[{"id":"ITEM-1","itemData":{"abstract":"This paper provides a structured overview of the burgeoning literature on the economics of CBDC. We document the economic forces that shape the rise of digital money and review motives for the issuance of CBDC. We then study the implications for the financial system and discuss of a number of policy issues and challenges. While the academic literature broadly echoes policy makers' concerns about bank disintermediation and financial stability risks, it also provides conditions under which such adverse effects may not materialize. We also point to several knowledge gaps that merit further work, including data privacy and the study of end‐user preferences for attributes of digital payment methods.","author":[{"dropping-particle":"","family":"Ahnert","given":"Toni","non-dropping-particle":"","parse-names":false,"suffix":""},{"dropping-particle":"","family":"Assenmacher","given":"Katrin","non-dropping-particle":"","parse-names":false,"suffix":""},{"dropping-particle":"","family":"Hoffmann","given":"Peter","non-dropping-particle":"","parse-names":false,"suffix":""},{"dropping-particle":"","family":"Leonello","given":"Agnese","non-dropping-particle":"","parse-names":false,"suffix":""},{"dropping-particle":"","family":"Monnet","given":"Cyril","non-dropping-particle":"","parse-names":false,"suffix":""},{"dropping-particle":"","family":"Porcellacchia","given":"Davide","non-dropping-particle":"","parse-names":false,"suffix":""}],"container-title":"SSRN Electronic Journal","id":"ITEM-1","issued":{"date-parts":[["2023","1","1"]]},"title":"The Economics of Central Bank Digital Currency","type":"report"},"uris":["http://www.mendeley.com/documents/?uuid=00a4695a-ea97-301c-b550-80b1f9ac72b3"]},{"id":"ITEM-2","itemData":{"DOI":"10.1016/J.RIBAF.2022.101736","ISSN":"0275-5319","abstract":"Central bank digital currencies are engendering concern. As understanding of CBDCs is very limited, further research is warranted which will focus not only on the economic rationale of CBDCs but also on how they will impact monetary policy transmission, financial and price stability, inflation targeting, unconventional monetary instruments, central banks as lenders of last resort, and provision of forward guidance. There are also unsettled questions regarding ethics, privacy and environmental and technological constraints. With the imminent implementation of CBDCs, it is vital to explore these issues.","author":[{"dropping-particle":"","family":"Elsayed","given":"Ahmed H.","non-dropping-particle":"","parse-names":false,"suffix":""},{"dropping-particle":"","family":"Nasir","given":"Muhammad Ali","non-dropping-particle":"","parse-names":false,"suffix":""}],"container-title":"Research in International Business and Finance","id":"ITEM-2","issued":{"date-parts":[["2022","12","1"]]},"page":"101736","publisher":"Elsevier","title":"Central bank digital currencies: An agenda for future research","type":"article-journal","volume":"62"},"uris":["http://www.mendeley.com/documents/?uuid=2e71b081-b4fe-3d0e-b026-dbee10fb060d"]}],"mendeley":{"formattedCitation":"(Ahnert et al., 2023; Elsayed &amp; Nasir, 2022)","plainTextFormattedCitation":"(Ahnert et al., 2023; Elsayed &amp; Nasir, 2022)","previouslyFormattedCitation":"(Ahnert et al., 2023; Elsayed &amp; Nasir, 2022)"},"properties":{"noteIndex":0},"schema":"https://github.com/citation-style-language/schema/raw/master/csl-citation.json"}</w:instrText>
      </w:r>
      <w:r w:rsidR="00CB6DEB">
        <w:rPr>
          <w:rFonts w:ascii="Times New Roman" w:eastAsiaTheme="majorEastAsia" w:hAnsi="Times New Roman" w:cs="Times New Roman"/>
          <w:sz w:val="24"/>
          <w:szCs w:val="24"/>
        </w:rPr>
        <w:fldChar w:fldCharType="separate"/>
      </w:r>
      <w:r w:rsidR="00CB6DEB" w:rsidRPr="00CB6DEB">
        <w:rPr>
          <w:rFonts w:ascii="Times New Roman" w:eastAsiaTheme="majorEastAsia" w:hAnsi="Times New Roman" w:cs="Times New Roman"/>
          <w:noProof/>
          <w:sz w:val="24"/>
          <w:szCs w:val="24"/>
        </w:rPr>
        <w:t>(Ahnert et al., 2023; Elsayed &amp; Nasir, 2022)</w:t>
      </w:r>
      <w:r w:rsidR="00CB6DEB">
        <w:rPr>
          <w:rFonts w:ascii="Times New Roman" w:eastAsiaTheme="majorEastAsia" w:hAnsi="Times New Roman" w:cs="Times New Roman"/>
          <w:sz w:val="24"/>
          <w:szCs w:val="24"/>
        </w:rPr>
        <w:fldChar w:fldCharType="end"/>
      </w:r>
      <w:r w:rsidR="00CB6DEB">
        <w:rPr>
          <w:rFonts w:ascii="Times New Roman" w:eastAsiaTheme="majorEastAsia" w:hAnsi="Times New Roman" w:cs="Times New Roman"/>
          <w:sz w:val="24"/>
          <w:szCs w:val="24"/>
        </w:rPr>
        <w:t>.</w:t>
      </w:r>
      <w:r w:rsidRPr="007403C6">
        <w:rPr>
          <w:rFonts w:ascii="Times New Roman" w:eastAsiaTheme="majorEastAsia" w:hAnsi="Times New Roman" w:cs="Times New Roman"/>
          <w:sz w:val="24"/>
          <w:szCs w:val="24"/>
        </w:rPr>
        <w:t xml:space="preserve"> Such mechanisms enhance a more predictable and stable financial environment. However, there </w:t>
      </w:r>
      <w:r>
        <w:rPr>
          <w:rFonts w:ascii="Times New Roman" w:eastAsiaTheme="majorEastAsia" w:hAnsi="Times New Roman" w:cs="Times New Roman"/>
          <w:sz w:val="24"/>
          <w:szCs w:val="24"/>
        </w:rPr>
        <w:t>is risk</w:t>
      </w:r>
      <w:r w:rsidRPr="007403C6">
        <w:rPr>
          <w:rFonts w:ascii="Times New Roman" w:eastAsiaTheme="majorEastAsia" w:hAnsi="Times New Roman" w:cs="Times New Roman"/>
          <w:sz w:val="24"/>
          <w:szCs w:val="24"/>
        </w:rPr>
        <w:t xml:space="preserve"> of disintermediation or over-centralization which should be mitigated with the help of gradual adoption and regulatory controls.</w:t>
      </w:r>
    </w:p>
    <w:p w14:paraId="1156E4F4" w14:textId="77777777" w:rsidR="006F6EB2" w:rsidRPr="00F436F7" w:rsidRDefault="006F6EB2" w:rsidP="001A2E76">
      <w:pPr>
        <w:spacing w:before="240" w:line="240" w:lineRule="auto"/>
        <w:jc w:val="both"/>
        <w:rPr>
          <w:rFonts w:ascii="Times New Roman" w:eastAsiaTheme="majorEastAsia" w:hAnsi="Times New Roman" w:cs="Times New Roman"/>
          <w:b/>
          <w:bCs/>
          <w:sz w:val="24"/>
          <w:szCs w:val="24"/>
          <w:lang w:val="en-PK"/>
        </w:rPr>
      </w:pPr>
      <w:r w:rsidRPr="00F436F7">
        <w:rPr>
          <w:rFonts w:ascii="Times New Roman" w:eastAsiaTheme="majorEastAsia" w:hAnsi="Times New Roman" w:cs="Times New Roman"/>
          <w:b/>
          <w:bCs/>
          <w:sz w:val="24"/>
          <w:szCs w:val="24"/>
          <w:lang w:val="en-PK"/>
        </w:rPr>
        <w:t>5. Discussion</w:t>
      </w:r>
    </w:p>
    <w:p w14:paraId="5B62B0F5" w14:textId="5307FC3B" w:rsidR="00F436F7" w:rsidRPr="00F436F7" w:rsidRDefault="00F436F7" w:rsidP="001A2E76">
      <w:pPr>
        <w:spacing w:before="240" w:line="240" w:lineRule="auto"/>
        <w:jc w:val="both"/>
        <w:rPr>
          <w:rFonts w:ascii="Times New Roman" w:eastAsiaTheme="majorEastAsia" w:hAnsi="Times New Roman" w:cs="Times New Roman"/>
          <w:sz w:val="24"/>
          <w:szCs w:val="24"/>
        </w:rPr>
      </w:pPr>
      <w:r w:rsidRPr="00F436F7">
        <w:rPr>
          <w:rFonts w:ascii="Times New Roman" w:eastAsiaTheme="majorEastAsia" w:hAnsi="Times New Roman" w:cs="Times New Roman"/>
          <w:sz w:val="24"/>
          <w:szCs w:val="24"/>
        </w:rPr>
        <w:t xml:space="preserve">The revised analysis suggests that the shift to the full-reserve, interest-free monetary system may have a considerable effect on the fiscal and monetary situation in Pakistan, but they are </w:t>
      </w:r>
      <w:r w:rsidRPr="00F436F7">
        <w:rPr>
          <w:rFonts w:ascii="Times New Roman" w:eastAsiaTheme="majorEastAsia" w:hAnsi="Times New Roman" w:cs="Times New Roman"/>
          <w:sz w:val="24"/>
          <w:szCs w:val="24"/>
        </w:rPr>
        <w:lastRenderedPageBreak/>
        <w:t xml:space="preserve">theoretical and directional, not predictive. With fractional-reserve banking, the government expenditure is dependent on interest-bearing debt. Conversely, a sovereign-money system directs the money that is created to public spending without necessarily creating liabilities. This is consistent with the results of </w:t>
      </w:r>
      <w:r w:rsidR="00CB6DEB">
        <w:rPr>
          <w:rFonts w:ascii="Times New Roman" w:eastAsiaTheme="majorEastAsia" w:hAnsi="Times New Roman" w:cs="Times New Roman"/>
          <w:sz w:val="24"/>
          <w:szCs w:val="24"/>
        </w:rPr>
        <w:fldChar w:fldCharType="begin" w:fldLock="1"/>
      </w:r>
      <w:r w:rsidR="00CB6DEB">
        <w:rPr>
          <w:rFonts w:ascii="Times New Roman" w:eastAsiaTheme="majorEastAsia" w:hAnsi="Times New Roman" w:cs="Times New Roman"/>
          <w:sz w:val="24"/>
          <w:szCs w:val="24"/>
        </w:rPr>
        <w:instrText>ADDIN CSL_CITATION {"citationItems":[{"id":"ITEM-1","itemData":{"author":[{"dropping-particle":"","family":"Benes","given":"MJ","non-dropping-particle":"","parse-names":false,"suffix":""},{"dropping-particle":"","family":"Kumhof","given":"MM","non-dropping-particle":"","parse-names":false,"suffix":""}],"id":"ITEM-1","issued":{"date-parts":[["2012"]]},"publisher":"International Monetary Fund","title":"The Chicago plan revisited","type":"book"},"uris":["http://www.mendeley.com/documents/?uuid=247a3f89-3605-4ed6-9895-506a6fcdc622"]},{"id":"ITEM-2","itemData":{"DOI":"10.2139/SSRN.2679090","abstract":"Historically high levels of private and public debt coupled with already very low short-term interest rates appear to limit the options for stimulative monetary policy in many advanced economies today. One option that has not yet been considered is monetary financing by central banks to boost demand and/or relieve debt burdens. We find little empirical evidence to support the standard objection to such policies: that they will lead to uncontrollable inflation. Theoretical models of inflationary monetary financing rest upon inaccurate conceptions of the modern endogenous money creation process. This paper presents a counter-example in the activities of the Bank of Canada during the period 1935-75, when, working with the government, it engaged in significant direct or indirect monetary financing to support fiscal expansion, economic growth, and industrialization. An institutional case study of the period, complemented by a general-to-specific econometric analysis, finds no support for a relationship between monetary financing and inflation. The findings lend support to recent calls for explicit monetary financing to boost highly indebted economies and a more general rethink of the dominant New Macroeconomic Consensus policy framework that prohibits monetary financing.","author":[{"dropping-particle":"","family":"Ryan-Collins","given":"Josh","non-dropping-particle":"","parse-names":false,"suffix":""}],"container-title":"SSRN Electronic Journal","id":"ITEM-2","issued":{"date-parts":[["2015","10","23"]]},"number-of-pages":"52","publisher":"Elsevier BV","title":"Is Monetary Financing Inflationary? A Case Study of the Canadian Economy, 1935-75","type":"report"},"uris":["http://www.mendeley.com/documents/?uuid=804accf2-9032-3758-bcde-f1836393fa91"]}],"mendeley":{"formattedCitation":"(Benes &amp; Kumhof, 2012; Ryan-Collins, 2015)","plainTextFormattedCitation":"(Benes &amp; Kumhof, 2012; Ryan-Collins, 2015)","previouslyFormattedCitation":"(Benes &amp; Kumhof, 2012; Ryan-Collins, 2015)"},"properties":{"noteIndex":0},"schema":"https://github.com/citation-style-language/schema/raw/master/csl-citation.json"}</w:instrText>
      </w:r>
      <w:r w:rsidR="00CB6DEB">
        <w:rPr>
          <w:rFonts w:ascii="Times New Roman" w:eastAsiaTheme="majorEastAsia" w:hAnsi="Times New Roman" w:cs="Times New Roman"/>
          <w:sz w:val="24"/>
          <w:szCs w:val="24"/>
        </w:rPr>
        <w:fldChar w:fldCharType="separate"/>
      </w:r>
      <w:r w:rsidR="00CB6DEB" w:rsidRPr="00CB6DEB">
        <w:rPr>
          <w:rFonts w:ascii="Times New Roman" w:eastAsiaTheme="majorEastAsia" w:hAnsi="Times New Roman" w:cs="Times New Roman"/>
          <w:noProof/>
          <w:sz w:val="24"/>
          <w:szCs w:val="24"/>
        </w:rPr>
        <w:t>(Benes &amp; Kumhof, 2012; Ryan-Collins, 2015)</w:t>
      </w:r>
      <w:r w:rsidR="00CB6DEB">
        <w:rPr>
          <w:rFonts w:ascii="Times New Roman" w:eastAsiaTheme="majorEastAsia" w:hAnsi="Times New Roman" w:cs="Times New Roman"/>
          <w:sz w:val="24"/>
          <w:szCs w:val="24"/>
        </w:rPr>
        <w:fldChar w:fldCharType="end"/>
      </w:r>
      <w:r w:rsidRPr="00F436F7">
        <w:rPr>
          <w:rFonts w:ascii="Times New Roman" w:eastAsiaTheme="majorEastAsia" w:hAnsi="Times New Roman" w:cs="Times New Roman"/>
          <w:sz w:val="24"/>
          <w:szCs w:val="24"/>
        </w:rPr>
        <w:t xml:space="preserve">, which indicate that the creation of money by the state can lead to a decrease in structural dependence on debt in the presence of right institutional regulations. </w:t>
      </w:r>
    </w:p>
    <w:p w14:paraId="79F7AACB" w14:textId="2D601DC4" w:rsidR="00F436F7" w:rsidRPr="00F436F7" w:rsidRDefault="00F436F7" w:rsidP="001A2E76">
      <w:pPr>
        <w:spacing w:before="240" w:line="240" w:lineRule="auto"/>
        <w:jc w:val="both"/>
        <w:rPr>
          <w:rFonts w:ascii="Times New Roman" w:eastAsiaTheme="majorEastAsia" w:hAnsi="Times New Roman" w:cs="Times New Roman"/>
          <w:sz w:val="24"/>
          <w:szCs w:val="24"/>
        </w:rPr>
      </w:pPr>
      <w:r w:rsidRPr="00F436F7">
        <w:rPr>
          <w:rFonts w:ascii="Times New Roman" w:eastAsiaTheme="majorEastAsia" w:hAnsi="Times New Roman" w:cs="Times New Roman"/>
          <w:sz w:val="24"/>
          <w:szCs w:val="24"/>
        </w:rPr>
        <w:t xml:space="preserve">The system proposed also aligns with the Islamic financial principles, whereby riba is avoided, equity-based arrangements are preferred, and money is considered as a medium of exchange and not as an instrument of rent extraction. Associating money issue with productive action and reclaiming seigniorage to be used by the people is consistent with the maqasid al-shariah objectives of fairness, stability, and welfare. </w:t>
      </w:r>
    </w:p>
    <w:p w14:paraId="461FB770" w14:textId="7DB11A9B" w:rsidR="00F436F7" w:rsidRPr="00F436F7" w:rsidRDefault="00F436F7" w:rsidP="001A2E76">
      <w:pPr>
        <w:spacing w:before="240" w:line="240" w:lineRule="auto"/>
        <w:jc w:val="both"/>
        <w:rPr>
          <w:rFonts w:ascii="Times New Roman" w:eastAsiaTheme="majorEastAsia" w:hAnsi="Times New Roman" w:cs="Times New Roman"/>
          <w:sz w:val="24"/>
          <w:szCs w:val="24"/>
        </w:rPr>
      </w:pPr>
      <w:r w:rsidRPr="00F436F7">
        <w:rPr>
          <w:rFonts w:ascii="Times New Roman" w:eastAsiaTheme="majorEastAsia" w:hAnsi="Times New Roman" w:cs="Times New Roman"/>
          <w:sz w:val="24"/>
          <w:szCs w:val="24"/>
        </w:rPr>
        <w:t>It is plausible based on comparative evidence. The central bank financing of the development in Canada in the mid-20</w:t>
      </w:r>
      <w:r w:rsidRPr="00F436F7">
        <w:rPr>
          <w:rFonts w:ascii="Times New Roman" w:eastAsiaTheme="majorEastAsia" w:hAnsi="Times New Roman" w:cs="Times New Roman"/>
          <w:sz w:val="24"/>
          <w:szCs w:val="24"/>
          <w:vertAlign w:val="superscript"/>
        </w:rPr>
        <w:t>th</w:t>
      </w:r>
      <w:r w:rsidRPr="00F436F7">
        <w:rPr>
          <w:rFonts w:ascii="Times New Roman" w:eastAsiaTheme="majorEastAsia" w:hAnsi="Times New Roman" w:cs="Times New Roman"/>
          <w:sz w:val="24"/>
          <w:szCs w:val="24"/>
        </w:rPr>
        <w:t xml:space="preserve"> century shows that non-interest monetary operations can finance public investment without leading to high inflation provided they are done in accordance with the economic capacity. Likewise, CBDC pilots in China and the Bahamas demonstrate that state-controlled digital money can improve transmission mechanisms and offer a technical basis of sovereign monetary operations, but these are early-stage projects. </w:t>
      </w:r>
    </w:p>
    <w:p w14:paraId="1A3188C7" w14:textId="742B8F27" w:rsidR="00F436F7" w:rsidRPr="00F436F7" w:rsidRDefault="00F436F7" w:rsidP="001A2E76">
      <w:pPr>
        <w:spacing w:before="240" w:line="240" w:lineRule="auto"/>
        <w:jc w:val="both"/>
        <w:rPr>
          <w:rFonts w:ascii="Times New Roman" w:eastAsiaTheme="majorEastAsia" w:hAnsi="Times New Roman" w:cs="Times New Roman"/>
          <w:sz w:val="24"/>
          <w:szCs w:val="24"/>
          <w:lang w:val="en-PK"/>
        </w:rPr>
      </w:pPr>
      <w:r w:rsidRPr="00F436F7">
        <w:rPr>
          <w:rFonts w:ascii="Times New Roman" w:eastAsiaTheme="majorEastAsia" w:hAnsi="Times New Roman" w:cs="Times New Roman"/>
          <w:sz w:val="24"/>
          <w:szCs w:val="24"/>
        </w:rPr>
        <w:t>There are still practical difficulties. The full-reserve system would demand significant institutional change, new regulatory frameworks, anti-abuse measures, and prudent administration of inflation. The removal of the credit creation by the private banks is also a challenge to both operations and politics. Therefore, although theoretically beneficial, the transition should be slow, gradual and supported by institutions.</w:t>
      </w:r>
    </w:p>
    <w:p w14:paraId="51F60512" w14:textId="7EDF6CDB" w:rsidR="006F6EB2" w:rsidRPr="003D6BC9" w:rsidRDefault="006F6EB2" w:rsidP="001A2E76">
      <w:pPr>
        <w:spacing w:before="240" w:line="240" w:lineRule="auto"/>
        <w:jc w:val="both"/>
        <w:rPr>
          <w:rFonts w:ascii="Times New Roman" w:eastAsiaTheme="majorEastAsia" w:hAnsi="Times New Roman" w:cs="Times New Roman"/>
          <w:b/>
          <w:bCs/>
          <w:sz w:val="24"/>
          <w:szCs w:val="24"/>
          <w:lang w:val="en-PK"/>
        </w:rPr>
      </w:pPr>
      <w:r w:rsidRPr="003D6BC9">
        <w:rPr>
          <w:rFonts w:ascii="Times New Roman" w:eastAsiaTheme="majorEastAsia" w:hAnsi="Times New Roman" w:cs="Times New Roman"/>
          <w:b/>
          <w:bCs/>
          <w:sz w:val="24"/>
          <w:szCs w:val="24"/>
          <w:lang w:val="en-PK"/>
        </w:rPr>
        <w:t>6. Policy Implications and Systemic Stability</w:t>
      </w:r>
    </w:p>
    <w:p w14:paraId="0EF1B990" w14:textId="77777777" w:rsidR="003D6BC9" w:rsidRDefault="003D6BC9" w:rsidP="001A2E76">
      <w:pPr>
        <w:spacing w:before="240" w:line="240" w:lineRule="auto"/>
        <w:jc w:val="both"/>
        <w:rPr>
          <w:rFonts w:ascii="Times New Roman" w:eastAsiaTheme="majorEastAsia" w:hAnsi="Times New Roman" w:cs="Times New Roman"/>
          <w:sz w:val="24"/>
          <w:szCs w:val="24"/>
        </w:rPr>
      </w:pPr>
      <w:r w:rsidRPr="003D6BC9">
        <w:rPr>
          <w:rFonts w:ascii="Times New Roman" w:eastAsiaTheme="majorEastAsia" w:hAnsi="Times New Roman" w:cs="Times New Roman"/>
          <w:sz w:val="24"/>
          <w:szCs w:val="24"/>
        </w:rPr>
        <w:t xml:space="preserve">Transitioning to a sovereign, interest-free system would suggest a number of directions in policies: </w:t>
      </w:r>
    </w:p>
    <w:p w14:paraId="472BD02C" w14:textId="77777777" w:rsidR="003D6BC9" w:rsidRPr="003D6BC9" w:rsidRDefault="003D6BC9" w:rsidP="001A2E76">
      <w:pPr>
        <w:pStyle w:val="ListParagraph"/>
        <w:numPr>
          <w:ilvl w:val="0"/>
          <w:numId w:val="12"/>
        </w:numPr>
        <w:spacing w:before="240" w:line="240" w:lineRule="auto"/>
        <w:jc w:val="both"/>
        <w:rPr>
          <w:rFonts w:ascii="Times New Roman" w:eastAsiaTheme="majorEastAsia" w:hAnsi="Times New Roman" w:cs="Times New Roman"/>
          <w:sz w:val="24"/>
          <w:szCs w:val="24"/>
        </w:rPr>
      </w:pPr>
      <w:r w:rsidRPr="003D6BC9">
        <w:rPr>
          <w:rFonts w:ascii="Times New Roman" w:eastAsiaTheme="majorEastAsia" w:hAnsi="Times New Roman" w:cs="Times New Roman"/>
          <w:i/>
          <w:iCs/>
          <w:sz w:val="24"/>
          <w:szCs w:val="24"/>
        </w:rPr>
        <w:t>Less exposure to debt</w:t>
      </w:r>
      <w:r w:rsidRPr="003D6BC9">
        <w:rPr>
          <w:rFonts w:ascii="Times New Roman" w:eastAsiaTheme="majorEastAsia" w:hAnsi="Times New Roman" w:cs="Times New Roman"/>
          <w:sz w:val="24"/>
          <w:szCs w:val="24"/>
        </w:rPr>
        <w:t xml:space="preserve">: Separating money creation and debt issuance can help decrease the use of expensive debt financing in Pakistan and instead finance more through a combination of taxation, sovereign money issuance, and non-interest instruments, as in historical and European experience. </w:t>
      </w:r>
    </w:p>
    <w:p w14:paraId="5692A30E" w14:textId="3965366C" w:rsidR="00CB6DEB" w:rsidRDefault="003D6BC9" w:rsidP="001A2E76">
      <w:pPr>
        <w:pStyle w:val="ListParagraph"/>
        <w:numPr>
          <w:ilvl w:val="0"/>
          <w:numId w:val="12"/>
        </w:numPr>
        <w:spacing w:before="240" w:line="240" w:lineRule="auto"/>
        <w:jc w:val="both"/>
        <w:rPr>
          <w:rFonts w:ascii="Times New Roman" w:eastAsiaTheme="majorEastAsia" w:hAnsi="Times New Roman" w:cs="Times New Roman"/>
          <w:sz w:val="24"/>
          <w:szCs w:val="24"/>
        </w:rPr>
      </w:pPr>
      <w:r w:rsidRPr="003D6BC9">
        <w:rPr>
          <w:rFonts w:ascii="Times New Roman" w:eastAsiaTheme="majorEastAsia" w:hAnsi="Times New Roman" w:cs="Times New Roman"/>
          <w:i/>
          <w:iCs/>
          <w:sz w:val="24"/>
          <w:szCs w:val="24"/>
        </w:rPr>
        <w:t>Increased fiscal space</w:t>
      </w:r>
      <w:r w:rsidRPr="003D6BC9">
        <w:rPr>
          <w:rFonts w:ascii="Times New Roman" w:eastAsiaTheme="majorEastAsia" w:hAnsi="Times New Roman" w:cs="Times New Roman"/>
          <w:sz w:val="24"/>
          <w:szCs w:val="24"/>
        </w:rPr>
        <w:t xml:space="preserve">: The re-allocation of seigniorage to the state sector will offer a predictable source of revenue to invest and enhance efficiency and resource allocation </w:t>
      </w:r>
      <w:r w:rsidR="00CB6DEB">
        <w:rPr>
          <w:rFonts w:ascii="Times New Roman" w:eastAsiaTheme="majorEastAsia" w:hAnsi="Times New Roman" w:cs="Times New Roman"/>
          <w:sz w:val="24"/>
          <w:szCs w:val="24"/>
        </w:rPr>
        <w:fldChar w:fldCharType="begin" w:fldLock="1"/>
      </w:r>
      <w:r w:rsidR="00CB6DEB">
        <w:rPr>
          <w:rFonts w:ascii="Times New Roman" w:eastAsiaTheme="majorEastAsia" w:hAnsi="Times New Roman" w:cs="Times New Roman"/>
          <w:sz w:val="24"/>
          <w:szCs w:val="24"/>
        </w:rPr>
        <w:instrText>ADDIN CSL_CITATION {"citationItems":[{"id":"ITEM-1","itemData":{"DOI":"10.2139/SSRN.4890683","author":[{"dropping-particle":"","family":"Berkeley","given":"Andrew","non-dropping-particle":"","parse-names":false,"suffix":""},{"dropping-particle":"","family":"Ryan-Collins","given":"Josh","non-dropping-particle":"","parse-names":false,"suffix":""},{"dropping-particle":"","family":"Ruge","given":"Asker Voldsgaard","non-dropping-particle":"","parse-names":false,"suffix":""},{"dropping-particle":"","family":"Tye","given":"Richard","non-dropping-particle":"","parse-names":false,"suffix":""},{"dropping-particle":"","family":"Wilson","given":"Neil","non-dropping-particle":"","parse-names":false,"suffix":""}],"container-title":"SSRN Electronic Journal","id":"ITEM-1","issued":{"date-parts":[["2024","1","26"]]},"publisher":"Elsevier BV","title":"The self-financing state: an institutional analysis of government expenditure, revenue collection and debt issuance operations in the United Kingdom","type":"article-journal"},"uris":["http://www.mendeley.com/documents/?uuid=db306c09-685b-3c83-bea4-5796869264e3"]},{"id":"ITEM-2","itemData":{"author":[{"dropping-particle":"","family":"Macfarlane","given":"Laurie","non-dropping-particle":"","parse-names":false,"suffix":""},{"dropping-particle":"","family":"Ryan-Collins","given":"Josh","non-dropping-particle":"","parse-names":false,"suffix":""},{"dropping-particle":"","family":"Bjerg","given":"Ole","non-dropping-particle":"","parse-names":false,"suffix":""},{"dropping-particle":"","family":"McCann","given":"Rasmus Hougaard Nielsen Duncan","non-dropping-particle":"","parse-names":false,"suffix":""}],"id":"ITEM-2","issued":{"date-parts":[["2017","1","1"]]},"title":"Making Money from Making Money : Seigniorage in the Modern Economy","type":"report"},"uris":["http://www.mendeley.com/documents/?uuid=4aae920d-b084-3e54-b6f7-080aef2f433b"]}],"mendeley":{"formattedCitation":"(Berkeley et al., 2024; Macfarlane et al., 2017)","plainTextFormattedCitation":"(Berkeley et al., 2024; Macfarlane et al., 2017)","previouslyFormattedCitation":"(Berkeley et al., 2024; Macfarlane et al., 2017)"},"properties":{"noteIndex":0},"schema":"https://github.com/citation-style-language/schema/raw/master/csl-citation.json"}</w:instrText>
      </w:r>
      <w:r w:rsidR="00CB6DEB">
        <w:rPr>
          <w:rFonts w:ascii="Times New Roman" w:eastAsiaTheme="majorEastAsia" w:hAnsi="Times New Roman" w:cs="Times New Roman"/>
          <w:sz w:val="24"/>
          <w:szCs w:val="24"/>
        </w:rPr>
        <w:fldChar w:fldCharType="separate"/>
      </w:r>
      <w:r w:rsidR="00CB6DEB" w:rsidRPr="00CB6DEB">
        <w:rPr>
          <w:rFonts w:ascii="Times New Roman" w:eastAsiaTheme="majorEastAsia" w:hAnsi="Times New Roman" w:cs="Times New Roman"/>
          <w:noProof/>
          <w:sz w:val="24"/>
          <w:szCs w:val="24"/>
        </w:rPr>
        <w:t>(Berkeley et al., 2024; Macfarlane et al., 2017)</w:t>
      </w:r>
      <w:r w:rsidR="00CB6DEB">
        <w:rPr>
          <w:rFonts w:ascii="Times New Roman" w:eastAsiaTheme="majorEastAsia" w:hAnsi="Times New Roman" w:cs="Times New Roman"/>
          <w:sz w:val="24"/>
          <w:szCs w:val="24"/>
        </w:rPr>
        <w:fldChar w:fldCharType="end"/>
      </w:r>
    </w:p>
    <w:p w14:paraId="1C29C3BF" w14:textId="77777777" w:rsidR="003D6BC9" w:rsidRPr="003D6BC9" w:rsidRDefault="003D6BC9" w:rsidP="001A2E76">
      <w:pPr>
        <w:pStyle w:val="ListParagraph"/>
        <w:numPr>
          <w:ilvl w:val="0"/>
          <w:numId w:val="12"/>
        </w:numPr>
        <w:spacing w:before="240" w:line="240" w:lineRule="auto"/>
        <w:jc w:val="both"/>
        <w:rPr>
          <w:rFonts w:ascii="Times New Roman" w:eastAsiaTheme="majorEastAsia" w:hAnsi="Times New Roman" w:cs="Times New Roman"/>
          <w:sz w:val="24"/>
          <w:szCs w:val="24"/>
        </w:rPr>
      </w:pPr>
      <w:r w:rsidRPr="003D6BC9">
        <w:rPr>
          <w:rFonts w:ascii="Times New Roman" w:eastAsiaTheme="majorEastAsia" w:hAnsi="Times New Roman" w:cs="Times New Roman"/>
          <w:i/>
          <w:iCs/>
          <w:sz w:val="24"/>
          <w:szCs w:val="24"/>
        </w:rPr>
        <w:t>Digital integration</w:t>
      </w:r>
      <w:r w:rsidRPr="003D6BC9">
        <w:rPr>
          <w:rFonts w:ascii="Times New Roman" w:eastAsiaTheme="majorEastAsia" w:hAnsi="Times New Roman" w:cs="Times New Roman"/>
          <w:sz w:val="24"/>
          <w:szCs w:val="24"/>
        </w:rPr>
        <w:t>: CBDCs will have the ability to enhance transparency, transmission of policies, and targeted disbursements. Privacy, cybersecurity, and banking disruption are some of the risks that should be addressed in the institutional and technological context of Pakistan.</w:t>
      </w:r>
    </w:p>
    <w:p w14:paraId="678DFF27" w14:textId="5B12CFA8" w:rsidR="003D6BC9" w:rsidRPr="003D6BC9" w:rsidRDefault="003D6BC9" w:rsidP="001A2E76">
      <w:pPr>
        <w:pStyle w:val="ListParagraph"/>
        <w:numPr>
          <w:ilvl w:val="0"/>
          <w:numId w:val="12"/>
        </w:numPr>
        <w:spacing w:before="240" w:line="240" w:lineRule="auto"/>
        <w:jc w:val="both"/>
        <w:rPr>
          <w:rFonts w:ascii="Times New Roman" w:eastAsiaTheme="majorEastAsia" w:hAnsi="Times New Roman" w:cs="Times New Roman"/>
          <w:sz w:val="24"/>
          <w:szCs w:val="24"/>
        </w:rPr>
      </w:pPr>
      <w:r w:rsidRPr="003D6BC9">
        <w:rPr>
          <w:rFonts w:ascii="Times New Roman" w:eastAsiaTheme="majorEastAsia" w:hAnsi="Times New Roman" w:cs="Times New Roman"/>
          <w:i/>
          <w:iCs/>
          <w:sz w:val="24"/>
          <w:szCs w:val="24"/>
        </w:rPr>
        <w:t>Systemic stability</w:t>
      </w:r>
      <w:r w:rsidRPr="003D6BC9">
        <w:rPr>
          <w:rFonts w:ascii="Times New Roman" w:eastAsiaTheme="majorEastAsia" w:hAnsi="Times New Roman" w:cs="Times New Roman"/>
          <w:sz w:val="24"/>
          <w:szCs w:val="24"/>
        </w:rPr>
        <w:t xml:space="preserve">: Full-reserve banking decreases the weakness of maturity transformation and restricts the risks of bank-run and the variability of credit cycle </w:t>
      </w:r>
      <w:r w:rsidR="00CB6DEB">
        <w:rPr>
          <w:rFonts w:ascii="Times New Roman" w:eastAsiaTheme="majorEastAsia" w:hAnsi="Times New Roman" w:cs="Times New Roman"/>
          <w:sz w:val="24"/>
          <w:szCs w:val="24"/>
        </w:rPr>
        <w:fldChar w:fldCharType="begin" w:fldLock="1"/>
      </w:r>
      <w:r w:rsidR="00CB6DEB">
        <w:rPr>
          <w:rFonts w:ascii="Times New Roman" w:eastAsiaTheme="majorEastAsia" w:hAnsi="Times New Roman" w:cs="Times New Roman"/>
          <w:sz w:val="24"/>
          <w:szCs w:val="24"/>
        </w:rPr>
        <w:instrText>ADDIN CSL_CITATION {"citationItems":[{"id":"ITEM-1","itemData":{"DOI":"10.2139/SSRN.2820597","abstract":"This study analyzes the effect of a money-financed policy for fiscal reform. We introduce a realistic setting in which real output is not given by an exogenous variable, but is determined by effective demand in a monetary growth model. Using this model, we compare the effects of the money-financed policy for fiscal reform with the effects of various policies to prevent increasing fiscal deficit. We conclude that the money-financed policy is the most desirable from the viewpoint of curbing the fiscal deficit and raising gross domestic product.","author":[{"dropping-particle":"","family":"Aoki","given":"Masaru","non-dropping-particle":"","parse-names":false,"suffix":""}],"container-title":"SSRN Electronic Journal","id":"ITEM-1","issued":{"date-parts":[["2016","8","9"]]},"publisher":"Elsevier BV","title":"The Effect of Money-Financed Policy for Fiscal Reform","type":"article-journal"},"uris":["http://www.mendeley.com/documents/?uuid=8db828dc-fa45-30e4-8b3e-98e8fe1c7b5a"]},{"id":"ITEM-2","itemData":{"DOI":"10.1111/MECA.12325;JOURNAL:JOURNAL:1467999X;WGROUP:STRING:PUBLICATION","ISSN":"1467999X","abstract":"Sraffian supermultiplier models, as well as Kaleckian distribution and growth models that make use of non-capacity creating autonomous demand growth to cope with Harrodian instability, have paid little attention to the financial side of autonomous demand growth as the driver of the system. Therefore, we link the issue of Harrodian instability in Kaleckian models driven by non-capacity creating autonomous demand growth with the associated financial dynamics. For a simple model with autonomous government expenditure growth, zero interest rates and no consumption out of wealth, we find that adding debt dynamics does not change the results obtained by Skott (2017) based on Lavoie's (2016) model without debt, each published in this journal. Hence, in this simple model, the long-run equilibrium is stable if Harrodian instability is not too strong and the autonomous growth rate does not exceed a maximum given by the long-run equilibrium saving rate. Introducing interest payments on government debt as well as consumption out of wealth into the model, however, changes the stability requirements: First, the autonomous growth rate of government expenditures should not fall short of the exogenous monetary interest rate. Second, this growth rate should not exceed a maximum given by the saving rate in the long-run equilibrium net of the propensity to consume out of wealth. Third, Harrodian instability may be almost as strong as in the simple model without violating long-run overall stability, particularly if the propensity to consume out of wealth is low. We claim that irrespective of the relevance or irrelevance of Harrodian instability, it is necessary to introduce financial variables into models driven by non-capacity creating autonomous demand in order to assess the long-run (in-)stability and sustainability of growth.","author":[{"dropping-particle":"","family":"Hein","given":"Eckhard","non-dropping-particle":"","parse-names":false,"suffix":""},{"dropping-particle":"","family":"Woodgate","given":"Ryan","non-dropping-particle":"","parse-names":false,"suffix":""}],"container-title":"Metroeconomica","id":"ITEM-2","issue":"2","issued":{"date-parts":[["2020","5","1"]]},"page":"388-404","publisher":"John Wiley and Sons Inc","title":"Stability issues in Kaleckian models driven by autonomous demand growth—Harrodian instability and debt dynamics","type":"article-journal","volume":"72"},"uris":["http://www.mendeley.com/documents/?uuid=a7f71dfd-ebef-3162-b4fa-9d250c0d1692"]}],"mendeley":{"formattedCitation":"(Aoki, 2016; Hein &amp; Woodgate, 2020)","plainTextFormattedCitation":"(Aoki, 2016; Hein &amp; Woodgate, 2020)","previouslyFormattedCitation":"(Aoki, 2016; Hein &amp; Woodgate, 2020)"},"properties":{"noteIndex":0},"schema":"https://github.com/citation-style-language/schema/raw/master/csl-citation.json"}</w:instrText>
      </w:r>
      <w:r w:rsidR="00CB6DEB">
        <w:rPr>
          <w:rFonts w:ascii="Times New Roman" w:eastAsiaTheme="majorEastAsia" w:hAnsi="Times New Roman" w:cs="Times New Roman"/>
          <w:sz w:val="24"/>
          <w:szCs w:val="24"/>
        </w:rPr>
        <w:fldChar w:fldCharType="separate"/>
      </w:r>
      <w:r w:rsidR="00CB6DEB" w:rsidRPr="00CB6DEB">
        <w:rPr>
          <w:rFonts w:ascii="Times New Roman" w:eastAsiaTheme="majorEastAsia" w:hAnsi="Times New Roman" w:cs="Times New Roman"/>
          <w:noProof/>
          <w:sz w:val="24"/>
          <w:szCs w:val="24"/>
        </w:rPr>
        <w:t>(Aoki, 2016; Hein &amp; Woodgate, 2020)</w:t>
      </w:r>
      <w:r w:rsidR="00CB6DEB">
        <w:rPr>
          <w:rFonts w:ascii="Times New Roman" w:eastAsiaTheme="majorEastAsia" w:hAnsi="Times New Roman" w:cs="Times New Roman"/>
          <w:sz w:val="24"/>
          <w:szCs w:val="24"/>
        </w:rPr>
        <w:fldChar w:fldCharType="end"/>
      </w:r>
      <w:r w:rsidR="00CB6DEB">
        <w:rPr>
          <w:rFonts w:ascii="Times New Roman" w:eastAsiaTheme="majorEastAsia" w:hAnsi="Times New Roman" w:cs="Times New Roman"/>
          <w:sz w:val="24"/>
          <w:szCs w:val="24"/>
        </w:rPr>
        <w:t>.</w:t>
      </w:r>
      <w:r w:rsidRPr="003D6BC9">
        <w:rPr>
          <w:rFonts w:ascii="Times New Roman" w:eastAsiaTheme="majorEastAsia" w:hAnsi="Times New Roman" w:cs="Times New Roman"/>
          <w:sz w:val="24"/>
          <w:szCs w:val="24"/>
        </w:rPr>
        <w:t xml:space="preserve"> This may need alternative sources of financing such as the equity funds, Islamic partnerships, and development banks to help in making sure that there is sufficient credit supply. </w:t>
      </w:r>
    </w:p>
    <w:p w14:paraId="07F625C0" w14:textId="757EA19E" w:rsidR="003D6BC9" w:rsidRPr="003D6BC9" w:rsidRDefault="003D6BC9" w:rsidP="001A2E76">
      <w:pPr>
        <w:spacing w:before="240" w:line="240" w:lineRule="auto"/>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Overall</w:t>
      </w:r>
      <w:r w:rsidRPr="003D6BC9">
        <w:rPr>
          <w:rFonts w:ascii="Times New Roman" w:eastAsiaTheme="majorEastAsia" w:hAnsi="Times New Roman" w:cs="Times New Roman"/>
          <w:sz w:val="24"/>
          <w:szCs w:val="24"/>
        </w:rPr>
        <w:t>, a sovereign-money system can promote fiscal sovereignty, stability, and adherence to Islamic economic principles, given that it is accompanied by good governance, regulatory ability, and gradual reforms.</w:t>
      </w:r>
    </w:p>
    <w:p w14:paraId="75D4EE96" w14:textId="5110AE28" w:rsidR="006F6EB2" w:rsidRPr="00B74961" w:rsidRDefault="006F6EB2" w:rsidP="001A2E76">
      <w:pPr>
        <w:spacing w:before="240" w:line="240" w:lineRule="auto"/>
        <w:jc w:val="both"/>
        <w:rPr>
          <w:rFonts w:ascii="Times New Roman" w:eastAsiaTheme="majorEastAsia" w:hAnsi="Times New Roman" w:cs="Times New Roman"/>
          <w:b/>
          <w:bCs/>
          <w:sz w:val="24"/>
          <w:szCs w:val="24"/>
          <w:lang w:val="en-PK"/>
        </w:rPr>
      </w:pPr>
      <w:r w:rsidRPr="00B74961">
        <w:rPr>
          <w:rFonts w:ascii="Times New Roman" w:eastAsiaTheme="majorEastAsia" w:hAnsi="Times New Roman" w:cs="Times New Roman"/>
          <w:b/>
          <w:bCs/>
          <w:sz w:val="24"/>
          <w:szCs w:val="24"/>
          <w:lang w:val="en-PK"/>
        </w:rPr>
        <w:t>7. Conclusion</w:t>
      </w:r>
    </w:p>
    <w:p w14:paraId="77DA30F7" w14:textId="3192C2A1" w:rsidR="00B64B2D" w:rsidRDefault="00B74961" w:rsidP="001A2E76">
      <w:pPr>
        <w:spacing w:before="240" w:line="240" w:lineRule="auto"/>
        <w:jc w:val="both"/>
        <w:rPr>
          <w:rFonts w:ascii="Times New Roman" w:eastAsiaTheme="majorEastAsia" w:hAnsi="Times New Roman" w:cs="Times New Roman"/>
          <w:sz w:val="24"/>
          <w:szCs w:val="24"/>
        </w:rPr>
      </w:pPr>
      <w:r w:rsidRPr="00B74961">
        <w:rPr>
          <w:rFonts w:ascii="Times New Roman" w:eastAsiaTheme="majorEastAsia" w:hAnsi="Times New Roman" w:cs="Times New Roman"/>
          <w:sz w:val="24"/>
          <w:szCs w:val="24"/>
        </w:rPr>
        <w:t>This paper examined the viability and consequences of full-reserve, interest-free monetary system in Pakistan based on Islamic principles of monetary and historical evidence, and a hypothetical SFC model. The results indicate that this system would help decrease the need to use debt with interest, increase seigniorage to be used by the community, and make monetary growth more consistent with the actual economy. These benefits are in line with the Islamic goals such as the removal of riba, propagation of distributive justice and money as a productive medium. Historical (Canada) and modern (CBDC) experience would indicate that it is possible to have monetary systems that are disciplined and operate effectively without the need to have a gold standard. Nevertheless, the change demands regulatory redesign, operational clarity, banking reform, and fiscal mismanagement protection. The framework can provide a road to fiscal sustainability, debt elimination, and more equitable and ethically based financial system in accordance with long-term development and social well-being, with gradual implementation and good governance.</w:t>
      </w:r>
    </w:p>
    <w:p w14:paraId="6D038289" w14:textId="4BFEFF8D" w:rsidR="00405998" w:rsidRDefault="00405998" w:rsidP="001A2E76">
      <w:pPr>
        <w:spacing w:before="240" w:line="240" w:lineRule="auto"/>
        <w:jc w:val="both"/>
        <w:rPr>
          <w:rFonts w:ascii="Times New Roman" w:eastAsiaTheme="majorEastAsia" w:hAnsi="Times New Roman" w:cs="Times New Roman"/>
          <w:b/>
          <w:bCs/>
          <w:sz w:val="24"/>
          <w:szCs w:val="24"/>
        </w:rPr>
      </w:pPr>
      <w:r w:rsidRPr="00405998">
        <w:rPr>
          <w:rFonts w:ascii="Times New Roman" w:eastAsiaTheme="majorEastAsia" w:hAnsi="Times New Roman" w:cs="Times New Roman"/>
          <w:b/>
          <w:bCs/>
          <w:sz w:val="24"/>
          <w:szCs w:val="24"/>
        </w:rPr>
        <w:t>References</w:t>
      </w:r>
    </w:p>
    <w:p w14:paraId="0B912642" w14:textId="2B8AF982"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Pr>
          <w:rFonts w:ascii="Times New Roman" w:hAnsi="Times New Roman" w:cs="Times New Roman"/>
          <w:b/>
          <w:bCs/>
          <w:sz w:val="24"/>
          <w:szCs w:val="24"/>
        </w:rPr>
        <w:fldChar w:fldCharType="begin" w:fldLock="1"/>
      </w:r>
      <w:r>
        <w:rPr>
          <w:rFonts w:ascii="Times New Roman" w:hAnsi="Times New Roman" w:cs="Times New Roman"/>
          <w:b/>
          <w:bCs/>
          <w:sz w:val="24"/>
          <w:szCs w:val="24"/>
        </w:rPr>
        <w:instrText xml:space="preserve">ADDIN Mendeley Bibliography CSL_BIBLIOGRAPHY </w:instrText>
      </w:r>
      <w:r>
        <w:rPr>
          <w:rFonts w:ascii="Times New Roman" w:hAnsi="Times New Roman" w:cs="Times New Roman"/>
          <w:b/>
          <w:bCs/>
          <w:sz w:val="24"/>
          <w:szCs w:val="24"/>
        </w:rPr>
        <w:fldChar w:fldCharType="separate"/>
      </w:r>
      <w:r w:rsidRPr="00405998">
        <w:rPr>
          <w:rFonts w:ascii="Times New Roman" w:hAnsi="Times New Roman" w:cs="Times New Roman"/>
          <w:noProof/>
          <w:sz w:val="24"/>
        </w:rPr>
        <w:t xml:space="preserve">Aboobaker, A., &amp; Ugurlu, E. N. (2023). Weaknesses of MMT as a guide to development policy. </w:t>
      </w:r>
      <w:r w:rsidRPr="00405998">
        <w:rPr>
          <w:rFonts w:ascii="Times New Roman" w:hAnsi="Times New Roman" w:cs="Times New Roman"/>
          <w:i/>
          <w:iCs/>
          <w:noProof/>
          <w:sz w:val="24"/>
        </w:rPr>
        <w:t>Cambridge Journal of Economics</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47</w:t>
      </w:r>
      <w:r w:rsidRPr="00405998">
        <w:rPr>
          <w:rFonts w:ascii="Times New Roman" w:hAnsi="Times New Roman" w:cs="Times New Roman"/>
          <w:noProof/>
          <w:sz w:val="24"/>
        </w:rPr>
        <w:t>(3), 555–574. https://doi.org/10.1093/CJE/BEAD009</w:t>
      </w:r>
    </w:p>
    <w:p w14:paraId="5A7575A3"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Ahmed, R., Aizenman, J., &amp; Jinjarak, Y. (2021). Inflation and Exchange Rate Targeting Challenges Under Fiscal Dominance. </w:t>
      </w:r>
      <w:r w:rsidRPr="00405998">
        <w:rPr>
          <w:rFonts w:ascii="Times New Roman" w:hAnsi="Times New Roman" w:cs="Times New Roman"/>
          <w:i/>
          <w:iCs/>
          <w:noProof/>
          <w:sz w:val="24"/>
        </w:rPr>
        <w:t>Journal of Macroeconomics</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67</w:t>
      </w:r>
      <w:r w:rsidRPr="00405998">
        <w:rPr>
          <w:rFonts w:ascii="Times New Roman" w:hAnsi="Times New Roman" w:cs="Times New Roman"/>
          <w:noProof/>
          <w:sz w:val="24"/>
        </w:rPr>
        <w:t>, 103281. https://doi.org/10.1016/J.JMACRO.2020.103281</w:t>
      </w:r>
    </w:p>
    <w:p w14:paraId="672EC8E0"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Ahnert, T., Assenmacher, K., Hoffmann, P., Leonello, A., Monnet, C., &amp; Porcellacchia, D. (2023). The Economics of Central Bank Digital Currency. In </w:t>
      </w:r>
      <w:r w:rsidRPr="00405998">
        <w:rPr>
          <w:rFonts w:ascii="Times New Roman" w:hAnsi="Times New Roman" w:cs="Times New Roman"/>
          <w:i/>
          <w:iCs/>
          <w:noProof/>
          <w:sz w:val="24"/>
        </w:rPr>
        <w:t>SSRN Electronic Journal</w:t>
      </w:r>
      <w:r w:rsidRPr="00405998">
        <w:rPr>
          <w:rFonts w:ascii="Times New Roman" w:hAnsi="Times New Roman" w:cs="Times New Roman"/>
          <w:noProof/>
          <w:sz w:val="24"/>
        </w:rPr>
        <w:t>.</w:t>
      </w:r>
    </w:p>
    <w:p w14:paraId="08DD3157"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Ann Pettifor. (2019). </w:t>
      </w:r>
      <w:r w:rsidRPr="00405998">
        <w:rPr>
          <w:rFonts w:ascii="Times New Roman" w:hAnsi="Times New Roman" w:cs="Times New Roman"/>
          <w:i/>
          <w:iCs/>
          <w:noProof/>
          <w:sz w:val="24"/>
        </w:rPr>
        <w:t>‘Deficit Financing’ or ‘Deficit-Reduction Financing?’ Debates in Contemporary Economics: Origins, Confusions and Clarity</w:t>
      </w:r>
      <w:r w:rsidRPr="00405998">
        <w:rPr>
          <w:rFonts w:ascii="Times New Roman" w:hAnsi="Times New Roman" w:cs="Times New Roman"/>
          <w:noProof/>
          <w:sz w:val="24"/>
        </w:rPr>
        <w:t>. https://doi.org/DOI:10.4197/Islec.32-1.4</w:t>
      </w:r>
    </w:p>
    <w:p w14:paraId="28BA82AA"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Antal, M., &amp; Bergh, J. C. J. M. van den. (2013). Macroeconomics, financial crisis and the environment: Strategies for a sustainability transition Macroeconomics, financial crisis and the environment: Strategies for a sustainability transition. </w:t>
      </w:r>
      <w:r w:rsidRPr="00405998">
        <w:rPr>
          <w:rFonts w:ascii="Times New Roman" w:hAnsi="Times New Roman" w:cs="Times New Roman"/>
          <w:i/>
          <w:iCs/>
          <w:noProof/>
          <w:sz w:val="24"/>
        </w:rPr>
        <w:t>Environmental Innovation and Societal Transitions</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6</w:t>
      </w:r>
      <w:r w:rsidRPr="00405998">
        <w:rPr>
          <w:rFonts w:ascii="Times New Roman" w:hAnsi="Times New Roman" w:cs="Times New Roman"/>
          <w:noProof/>
          <w:sz w:val="24"/>
        </w:rPr>
        <w:t>, 47–66.</w:t>
      </w:r>
    </w:p>
    <w:p w14:paraId="1633861B"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Aoki, M. (2016). The Effect of Money-Financed Policy for Fiscal Reform. </w:t>
      </w:r>
      <w:r w:rsidRPr="00405998">
        <w:rPr>
          <w:rFonts w:ascii="Times New Roman" w:hAnsi="Times New Roman" w:cs="Times New Roman"/>
          <w:i/>
          <w:iCs/>
          <w:noProof/>
          <w:sz w:val="24"/>
        </w:rPr>
        <w:t>SSRN Electronic Journal</w:t>
      </w:r>
      <w:r w:rsidRPr="00405998">
        <w:rPr>
          <w:rFonts w:ascii="Times New Roman" w:hAnsi="Times New Roman" w:cs="Times New Roman"/>
          <w:noProof/>
          <w:sz w:val="24"/>
        </w:rPr>
        <w:t>. https://doi.org/10.2139/SSRN.2820597</w:t>
      </w:r>
    </w:p>
    <w:p w14:paraId="51AC8530"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Aragaw, A. (2024). The inflationary effect of the budget deficit: does financial sector development matter? </w:t>
      </w:r>
      <w:r w:rsidRPr="00405998">
        <w:rPr>
          <w:rFonts w:ascii="Times New Roman" w:hAnsi="Times New Roman" w:cs="Times New Roman"/>
          <w:i/>
          <w:iCs/>
          <w:noProof/>
          <w:sz w:val="24"/>
        </w:rPr>
        <w:t>Journal of Innovation and Entrepreneurship 2024 13:1</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13</w:t>
      </w:r>
      <w:r w:rsidRPr="00405998">
        <w:rPr>
          <w:rFonts w:ascii="Times New Roman" w:hAnsi="Times New Roman" w:cs="Times New Roman"/>
          <w:noProof/>
          <w:sz w:val="24"/>
        </w:rPr>
        <w:t>(1), 35-. https://doi.org/10.1186/S13731-024-00394-4</w:t>
      </w:r>
    </w:p>
    <w:p w14:paraId="627E51EF"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Baeriswyl, R., Reynard, S., &amp; Swoboda, A. (2024). Retail CBDC purposes and risk transfers to the central bank. </w:t>
      </w:r>
      <w:r w:rsidRPr="00405998">
        <w:rPr>
          <w:rFonts w:ascii="Times New Roman" w:hAnsi="Times New Roman" w:cs="Times New Roman"/>
          <w:i/>
          <w:iCs/>
          <w:noProof/>
          <w:sz w:val="24"/>
        </w:rPr>
        <w:t>Swiss Journal of Economics and Statistics 2024 160:1</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160</w:t>
      </w:r>
      <w:r w:rsidRPr="00405998">
        <w:rPr>
          <w:rFonts w:ascii="Times New Roman" w:hAnsi="Times New Roman" w:cs="Times New Roman"/>
          <w:noProof/>
          <w:sz w:val="24"/>
        </w:rPr>
        <w:t xml:space="preserve">(1), 1–15. </w:t>
      </w:r>
      <w:r w:rsidRPr="00405998">
        <w:rPr>
          <w:rFonts w:ascii="Times New Roman" w:hAnsi="Times New Roman" w:cs="Times New Roman"/>
          <w:noProof/>
          <w:sz w:val="24"/>
        </w:rPr>
        <w:lastRenderedPageBreak/>
        <w:t>https://doi.org/10.1186/S41937-024-00124-3</w:t>
      </w:r>
    </w:p>
    <w:p w14:paraId="231A3350"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Bell, S. A. (1988). Can Taxes and Bonds Finance Government Spending? </w:t>
      </w:r>
      <w:r w:rsidRPr="00405998">
        <w:rPr>
          <w:rFonts w:ascii="Times New Roman" w:hAnsi="Times New Roman" w:cs="Times New Roman"/>
          <w:i/>
          <w:iCs/>
          <w:noProof/>
          <w:sz w:val="24"/>
        </w:rPr>
        <w:t>SSRN Electronic Journal</w:t>
      </w:r>
      <w:r w:rsidRPr="00405998">
        <w:rPr>
          <w:rFonts w:ascii="Times New Roman" w:hAnsi="Times New Roman" w:cs="Times New Roman"/>
          <w:noProof/>
          <w:sz w:val="24"/>
        </w:rPr>
        <w:t>. https://doi.org/10.2139/SSRN.115128</w:t>
      </w:r>
    </w:p>
    <w:p w14:paraId="3F2F56B5"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Benes, M., &amp; Kumhof, M. (2012). </w:t>
      </w:r>
      <w:r w:rsidRPr="00405998">
        <w:rPr>
          <w:rFonts w:ascii="Times New Roman" w:hAnsi="Times New Roman" w:cs="Times New Roman"/>
          <w:i/>
          <w:iCs/>
          <w:noProof/>
          <w:sz w:val="24"/>
        </w:rPr>
        <w:t>The Chicago plan revisited</w:t>
      </w:r>
      <w:r w:rsidRPr="00405998">
        <w:rPr>
          <w:rFonts w:ascii="Times New Roman" w:hAnsi="Times New Roman" w:cs="Times New Roman"/>
          <w:noProof/>
          <w:sz w:val="24"/>
        </w:rPr>
        <w:t>. International Monetary Fund.</w:t>
      </w:r>
    </w:p>
    <w:p w14:paraId="161E4502"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Berkeley, A., Ryan-Collins, J., Ruge, A. V., Tye, R., &amp; Wilson, N. (2024). The self-financing state: an institutional analysis of government expenditure, revenue collection and debt issuance operations in the United Kingdom. </w:t>
      </w:r>
      <w:r w:rsidRPr="00405998">
        <w:rPr>
          <w:rFonts w:ascii="Times New Roman" w:hAnsi="Times New Roman" w:cs="Times New Roman"/>
          <w:i/>
          <w:iCs/>
          <w:noProof/>
          <w:sz w:val="24"/>
        </w:rPr>
        <w:t>SSRN Electronic Journal</w:t>
      </w:r>
      <w:r w:rsidRPr="00405998">
        <w:rPr>
          <w:rFonts w:ascii="Times New Roman" w:hAnsi="Times New Roman" w:cs="Times New Roman"/>
          <w:noProof/>
          <w:sz w:val="24"/>
        </w:rPr>
        <w:t>. https://doi.org/10.2139/SSRN.4890683</w:t>
      </w:r>
    </w:p>
    <w:p w14:paraId="224A1CBE"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Chohan, U. W. (2020). Modern Monetary Theory (MMT): A General Introduction. </w:t>
      </w:r>
      <w:r w:rsidRPr="00405998">
        <w:rPr>
          <w:rFonts w:ascii="Times New Roman" w:hAnsi="Times New Roman" w:cs="Times New Roman"/>
          <w:i/>
          <w:iCs/>
          <w:noProof/>
          <w:sz w:val="24"/>
        </w:rPr>
        <w:t>SSRN Electronic Journal</w:t>
      </w:r>
      <w:r w:rsidRPr="00405998">
        <w:rPr>
          <w:rFonts w:ascii="Times New Roman" w:hAnsi="Times New Roman" w:cs="Times New Roman"/>
          <w:noProof/>
          <w:sz w:val="24"/>
        </w:rPr>
        <w:t>. https://doi.org/10.2139/SSRN.3569416</w:t>
      </w:r>
    </w:p>
    <w:p w14:paraId="103D75A6"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Dangulbi, S. M., Salleh, A., Meera, A. K., &amp; Aziuddin, A. (2012). Fractional Reserve Banking and Maqasid Al-Shariah: An Incompatible Practice? </w:t>
      </w:r>
      <w:r w:rsidRPr="00405998">
        <w:rPr>
          <w:rFonts w:ascii="Times New Roman" w:hAnsi="Times New Roman" w:cs="Times New Roman"/>
          <w:i/>
          <w:iCs/>
          <w:noProof/>
          <w:sz w:val="24"/>
        </w:rPr>
        <w:t>SSRN Electronic Journal</w:t>
      </w:r>
      <w:r w:rsidRPr="00405998">
        <w:rPr>
          <w:rFonts w:ascii="Times New Roman" w:hAnsi="Times New Roman" w:cs="Times New Roman"/>
          <w:noProof/>
          <w:sz w:val="24"/>
        </w:rPr>
        <w:t>. https://doi.org/10.2139/SSRN.2071164</w:t>
      </w:r>
    </w:p>
    <w:p w14:paraId="20D725DE"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Dionysopoulos, L., Marra, M., &amp; Urquhart, A. (2023). Central bank digital currencies: A critical review. </w:t>
      </w:r>
      <w:r w:rsidRPr="00405998">
        <w:rPr>
          <w:rFonts w:ascii="Times New Roman" w:hAnsi="Times New Roman" w:cs="Times New Roman"/>
          <w:i/>
          <w:iCs/>
          <w:noProof/>
          <w:sz w:val="24"/>
        </w:rPr>
        <w:t>International Review of Financial Analysis</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91</w:t>
      </w:r>
      <w:r w:rsidRPr="00405998">
        <w:rPr>
          <w:rFonts w:ascii="Times New Roman" w:hAnsi="Times New Roman" w:cs="Times New Roman"/>
          <w:noProof/>
          <w:sz w:val="24"/>
        </w:rPr>
        <w:t>.</w:t>
      </w:r>
    </w:p>
    <w:p w14:paraId="78D470D7"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Dittmer, K., &amp; Lemkow, L. (2015). </w:t>
      </w:r>
      <w:r w:rsidRPr="00405998">
        <w:rPr>
          <w:rFonts w:ascii="Times New Roman" w:hAnsi="Times New Roman" w:cs="Times New Roman"/>
          <w:i/>
          <w:iCs/>
          <w:noProof/>
          <w:sz w:val="24"/>
        </w:rPr>
        <w:t>Alternatives to money-as-usual in ecological economics: a study of local currencies and 100 percent reserve banking</w:t>
      </w:r>
      <w:r w:rsidRPr="00405998">
        <w:rPr>
          <w:rFonts w:ascii="Times New Roman" w:hAnsi="Times New Roman" w:cs="Times New Roman"/>
          <w:noProof/>
          <w:sz w:val="24"/>
        </w:rPr>
        <w:t>. https://ddd.uab.cat/record/129001</w:t>
      </w:r>
    </w:p>
    <w:p w14:paraId="08F9D4FB"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Drumetz, F., &amp; Pfister, C. (2021). Modern Monetary Theory: A Wrong Compass for Decision-Making. </w:t>
      </w:r>
      <w:r w:rsidRPr="00405998">
        <w:rPr>
          <w:rFonts w:ascii="Times New Roman" w:hAnsi="Times New Roman" w:cs="Times New Roman"/>
          <w:i/>
          <w:iCs/>
          <w:noProof/>
          <w:sz w:val="24"/>
        </w:rPr>
        <w:t>Intereconomics 2021 56:6</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56</w:t>
      </w:r>
      <w:r w:rsidRPr="00405998">
        <w:rPr>
          <w:rFonts w:ascii="Times New Roman" w:hAnsi="Times New Roman" w:cs="Times New Roman"/>
          <w:noProof/>
          <w:sz w:val="24"/>
        </w:rPr>
        <w:t>(6), 355–361. https://doi.org/10.1007/S10272-021-1014-5</w:t>
      </w:r>
    </w:p>
    <w:p w14:paraId="736C51CF"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Elsayed, A. H., &amp; Nasir, M. A. (2022). Central bank digital currencies: An agenda for future research. </w:t>
      </w:r>
      <w:r w:rsidRPr="00405998">
        <w:rPr>
          <w:rFonts w:ascii="Times New Roman" w:hAnsi="Times New Roman" w:cs="Times New Roman"/>
          <w:i/>
          <w:iCs/>
          <w:noProof/>
          <w:sz w:val="24"/>
        </w:rPr>
        <w:t>Research in International Business and Finance</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62</w:t>
      </w:r>
      <w:r w:rsidRPr="00405998">
        <w:rPr>
          <w:rFonts w:ascii="Times New Roman" w:hAnsi="Times New Roman" w:cs="Times New Roman"/>
          <w:noProof/>
          <w:sz w:val="24"/>
        </w:rPr>
        <w:t>, 101736. https://doi.org/10.1016/J.RIBAF.2022.101736</w:t>
      </w:r>
    </w:p>
    <w:p w14:paraId="1D8B6DFC"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Farley, J., Burke, M., Flomenhoft, G., Kelly, B., Forrest Murray, D., Posner, S., Putnam, M., Scanlan, A., &amp; Witham, A. (2013). Monetary and Fiscal Policies for a Finite Planet. </w:t>
      </w:r>
      <w:r w:rsidRPr="00405998">
        <w:rPr>
          <w:rFonts w:ascii="Times New Roman" w:hAnsi="Times New Roman" w:cs="Times New Roman"/>
          <w:i/>
          <w:iCs/>
          <w:noProof/>
          <w:sz w:val="24"/>
        </w:rPr>
        <w:t>Sustainability 2013, Vol. 5, Pages 2802-2826</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5</w:t>
      </w:r>
      <w:r w:rsidRPr="00405998">
        <w:rPr>
          <w:rFonts w:ascii="Times New Roman" w:hAnsi="Times New Roman" w:cs="Times New Roman"/>
          <w:noProof/>
          <w:sz w:val="24"/>
        </w:rPr>
        <w:t>(6), 2802–2826. https://doi.org/10.3390/SU5062802</w:t>
      </w:r>
    </w:p>
    <w:p w14:paraId="090712B9"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Focacci, A., &amp; Focacci, A. (2024). A Re-Appraisal of the Role of Monetary Policy: The Quantity Theory of Money through a Structural Vector Autoregressive Approach. </w:t>
      </w:r>
      <w:r w:rsidRPr="00405998">
        <w:rPr>
          <w:rFonts w:ascii="Times New Roman" w:hAnsi="Times New Roman" w:cs="Times New Roman"/>
          <w:i/>
          <w:iCs/>
          <w:noProof/>
          <w:sz w:val="24"/>
        </w:rPr>
        <w:t>Journal of Risk and Financial Management 2024, Vol. 17, Page 355</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17</w:t>
      </w:r>
      <w:r w:rsidRPr="00405998">
        <w:rPr>
          <w:rFonts w:ascii="Times New Roman" w:hAnsi="Times New Roman" w:cs="Times New Roman"/>
          <w:noProof/>
          <w:sz w:val="24"/>
        </w:rPr>
        <w:t>(8), 355. https://doi.org/10.3390/JRFM17080355</w:t>
      </w:r>
    </w:p>
    <w:p w14:paraId="6F660331"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Hein, E., &amp; Woodgate, R. (2020). Stability issues in Kaleckian models driven by autonomous demand growth—Harrodian instability and debt dynamics. </w:t>
      </w:r>
      <w:r w:rsidRPr="00405998">
        <w:rPr>
          <w:rFonts w:ascii="Times New Roman" w:hAnsi="Times New Roman" w:cs="Times New Roman"/>
          <w:i/>
          <w:iCs/>
          <w:noProof/>
          <w:sz w:val="24"/>
        </w:rPr>
        <w:t>Metroeconomica</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72</w:t>
      </w:r>
      <w:r w:rsidRPr="00405998">
        <w:rPr>
          <w:rFonts w:ascii="Times New Roman" w:hAnsi="Times New Roman" w:cs="Times New Roman"/>
          <w:noProof/>
          <w:sz w:val="24"/>
        </w:rPr>
        <w:t>(2), 388–404. https://doi.org/10.1111/MECA.12325;JOURNAL:JOURNAL:1467999X;WGROUP:STRING:PUBLICATION</w:t>
      </w:r>
    </w:p>
    <w:p w14:paraId="379573A6"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Javaid, O. (2023). Money Multiplication in Islamic Banking ”“ A Discussion on its Impact on Distributive Justice. </w:t>
      </w:r>
      <w:r w:rsidRPr="00405998">
        <w:rPr>
          <w:rFonts w:ascii="Times New Roman" w:hAnsi="Times New Roman" w:cs="Times New Roman"/>
          <w:i/>
          <w:iCs/>
          <w:noProof/>
          <w:sz w:val="24"/>
        </w:rPr>
        <w:t>Invest Journal of Sharia &amp; Economic Law</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3</w:t>
      </w:r>
      <w:r w:rsidRPr="00405998">
        <w:rPr>
          <w:rFonts w:ascii="Times New Roman" w:hAnsi="Times New Roman" w:cs="Times New Roman"/>
          <w:noProof/>
          <w:sz w:val="24"/>
        </w:rPr>
        <w:t xml:space="preserve">(1), 41–69. </w:t>
      </w:r>
      <w:r w:rsidRPr="00405998">
        <w:rPr>
          <w:rFonts w:ascii="Times New Roman" w:hAnsi="Times New Roman" w:cs="Times New Roman"/>
          <w:noProof/>
          <w:sz w:val="24"/>
        </w:rPr>
        <w:lastRenderedPageBreak/>
        <w:t>https://doi.org/10.21154/INVEST.V3I1.5780</w:t>
      </w:r>
    </w:p>
    <w:p w14:paraId="7B828317"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Javed, S. A. (2019, January 1). </w:t>
      </w:r>
      <w:r w:rsidRPr="00405998">
        <w:rPr>
          <w:rFonts w:ascii="Times New Roman" w:hAnsi="Times New Roman" w:cs="Times New Roman"/>
          <w:i/>
          <w:iCs/>
          <w:noProof/>
          <w:sz w:val="24"/>
        </w:rPr>
        <w:t>Limitless Deficit Financing for Economic Prosperity: Where They Got the Keynes’s Deficit Spending Wrong? by Sajid Amin Javed :: SSRN</w:t>
      </w:r>
      <w:r w:rsidRPr="00405998">
        <w:rPr>
          <w:rFonts w:ascii="Times New Roman" w:hAnsi="Times New Roman" w:cs="Times New Roman"/>
          <w:noProof/>
          <w:sz w:val="24"/>
        </w:rPr>
        <w:t>. https://papers.ssrn.com/sol3/papers.cfm?abstract_id=3465629</w:t>
      </w:r>
    </w:p>
    <w:p w14:paraId="58EBF6C0"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Kuehnlenz, S., Orsi, B., &amp; Kaltenbrunner, A. (2023). Central bank digital currencies and the international payment system: The demise of the US dollar? </w:t>
      </w:r>
      <w:r w:rsidRPr="00405998">
        <w:rPr>
          <w:rFonts w:ascii="Times New Roman" w:hAnsi="Times New Roman" w:cs="Times New Roman"/>
          <w:i/>
          <w:iCs/>
          <w:noProof/>
          <w:sz w:val="24"/>
        </w:rPr>
        <w:t>Research in International Business and Finance</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64</w:t>
      </w:r>
      <w:r w:rsidRPr="00405998">
        <w:rPr>
          <w:rFonts w:ascii="Times New Roman" w:hAnsi="Times New Roman" w:cs="Times New Roman"/>
          <w:noProof/>
          <w:sz w:val="24"/>
        </w:rPr>
        <w:t>, 101834. https://doi.org/10.1016/J.RIBAF.2022.101834</w:t>
      </w:r>
    </w:p>
    <w:p w14:paraId="6F660514"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Macfarlane, L., Ryan-Collins, J., Bjerg, O., &amp; McCann, R. H. N. D. (2017). </w:t>
      </w:r>
      <w:r w:rsidRPr="00405998">
        <w:rPr>
          <w:rFonts w:ascii="Times New Roman" w:hAnsi="Times New Roman" w:cs="Times New Roman"/>
          <w:i/>
          <w:iCs/>
          <w:noProof/>
          <w:sz w:val="24"/>
        </w:rPr>
        <w:t>Making Money from Making Money : Seigniorage in the Modern Economy</w:t>
      </w:r>
      <w:r w:rsidRPr="00405998">
        <w:rPr>
          <w:rFonts w:ascii="Times New Roman" w:hAnsi="Times New Roman" w:cs="Times New Roman"/>
          <w:noProof/>
          <w:sz w:val="24"/>
        </w:rPr>
        <w:t>.</w:t>
      </w:r>
    </w:p>
    <w:p w14:paraId="37DDCE98"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Mattassoglio, F. (2024). Central Bank Digital Currencies: What Future for Banks and Other Financial Intermediaries? </w:t>
      </w:r>
      <w:r w:rsidRPr="00405998">
        <w:rPr>
          <w:rFonts w:ascii="Times New Roman" w:hAnsi="Times New Roman" w:cs="Times New Roman"/>
          <w:i/>
          <w:iCs/>
          <w:noProof/>
          <w:sz w:val="24"/>
        </w:rPr>
        <w:t>Digital Assets and the Law: Fiat Money in the Era of Digital Currency</w:t>
      </w:r>
      <w:r w:rsidRPr="00405998">
        <w:rPr>
          <w:rFonts w:ascii="Times New Roman" w:hAnsi="Times New Roman" w:cs="Times New Roman"/>
          <w:noProof/>
          <w:sz w:val="24"/>
        </w:rPr>
        <w:t>, 331–344. https://doi.org/10.4324/9781003258261-24/CENTRAL-BANK-DIGITAL-CURRENCIES-FRANCESCA-MATTASSOGLIO</w:t>
      </w:r>
    </w:p>
    <w:p w14:paraId="534B80A6"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Mosler, W. (1995). Soft Currency Economics. </w:t>
      </w:r>
      <w:r w:rsidRPr="00405998">
        <w:rPr>
          <w:rFonts w:ascii="Times New Roman" w:hAnsi="Times New Roman" w:cs="Times New Roman"/>
          <w:i/>
          <w:iCs/>
          <w:noProof/>
          <w:sz w:val="24"/>
        </w:rPr>
        <w:t>Macroeconomics</w:t>
      </w:r>
      <w:r w:rsidRPr="00405998">
        <w:rPr>
          <w:rFonts w:ascii="Times New Roman" w:hAnsi="Times New Roman" w:cs="Times New Roman"/>
          <w:noProof/>
          <w:sz w:val="24"/>
        </w:rPr>
        <w:t>. https://ideas.repec.org/p/wpa/wuwpma/9502007.html</w:t>
      </w:r>
    </w:p>
    <w:p w14:paraId="12933B92"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Nell, K. S. (2023). Inflation and Growth in Developing Economies: A Tribute to Professor Thirlwall. </w:t>
      </w:r>
      <w:r w:rsidRPr="00405998">
        <w:rPr>
          <w:rFonts w:ascii="Times New Roman" w:hAnsi="Times New Roman" w:cs="Times New Roman"/>
          <w:i/>
          <w:iCs/>
          <w:noProof/>
          <w:sz w:val="24"/>
        </w:rPr>
        <w:t>Investigación Económica</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82</w:t>
      </w:r>
      <w:r w:rsidRPr="00405998">
        <w:rPr>
          <w:rFonts w:ascii="Times New Roman" w:hAnsi="Times New Roman" w:cs="Times New Roman"/>
          <w:noProof/>
          <w:sz w:val="24"/>
        </w:rPr>
        <w:t>(326), 41–95. https://doi.org/10.22201/FE.01851667P.2023.326.86382</w:t>
      </w:r>
    </w:p>
    <w:p w14:paraId="35610CA8"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Olk, C., Schneider, C., &amp; Hickel, J. (2023). How to pay for saving the world: Modern Monetary Theory for a degrowth transition. </w:t>
      </w:r>
      <w:r w:rsidRPr="00405998">
        <w:rPr>
          <w:rFonts w:ascii="Times New Roman" w:hAnsi="Times New Roman" w:cs="Times New Roman"/>
          <w:i/>
          <w:iCs/>
          <w:noProof/>
          <w:sz w:val="24"/>
        </w:rPr>
        <w:t>Ecological Economics</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214</w:t>
      </w:r>
      <w:r w:rsidRPr="00405998">
        <w:rPr>
          <w:rFonts w:ascii="Times New Roman" w:hAnsi="Times New Roman" w:cs="Times New Roman"/>
          <w:noProof/>
          <w:sz w:val="24"/>
        </w:rPr>
        <w:t>, 107968. https://doi.org/10.1016/J.ECOLECON.2023.107968</w:t>
      </w:r>
    </w:p>
    <w:p w14:paraId="672F60D8"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Riazanova, N. (2023). European vector of the sustainable development – the guideline for corporate and public finance in Ukraine. </w:t>
      </w:r>
      <w:r w:rsidRPr="00405998">
        <w:rPr>
          <w:rFonts w:ascii="Times New Roman" w:hAnsi="Times New Roman" w:cs="Times New Roman"/>
          <w:i/>
          <w:iCs/>
          <w:noProof/>
          <w:sz w:val="24"/>
        </w:rPr>
        <w:t>Fìnansi Ukraïni</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11</w:t>
      </w:r>
      <w:r w:rsidRPr="00405998">
        <w:rPr>
          <w:rFonts w:ascii="Times New Roman" w:hAnsi="Times New Roman" w:cs="Times New Roman"/>
          <w:noProof/>
          <w:sz w:val="24"/>
        </w:rPr>
        <w:t>, 86–98.</w:t>
      </w:r>
    </w:p>
    <w:p w14:paraId="1FA33A2D"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Ryan-Collins, J. (2015). Is Monetary Financing Inflationary? A Case Study of the Canadian Economy, 1935-75. In </w:t>
      </w:r>
      <w:r w:rsidRPr="00405998">
        <w:rPr>
          <w:rFonts w:ascii="Times New Roman" w:hAnsi="Times New Roman" w:cs="Times New Roman"/>
          <w:i/>
          <w:iCs/>
          <w:noProof/>
          <w:sz w:val="24"/>
        </w:rPr>
        <w:t>SSRN Electronic Journal</w:t>
      </w:r>
      <w:r w:rsidRPr="00405998">
        <w:rPr>
          <w:rFonts w:ascii="Times New Roman" w:hAnsi="Times New Roman" w:cs="Times New Roman"/>
          <w:noProof/>
          <w:sz w:val="24"/>
        </w:rPr>
        <w:t>. Elsevier BV. https://doi.org/10.2139/SSRN.2679090</w:t>
      </w:r>
    </w:p>
    <w:p w14:paraId="53FBA5EA"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Saeed, K. (2019). Unlinking Public Finance and Taxation in a Fiat Currency System. </w:t>
      </w:r>
      <w:r w:rsidRPr="00405998">
        <w:rPr>
          <w:rFonts w:ascii="Times New Roman" w:hAnsi="Times New Roman" w:cs="Times New Roman"/>
          <w:i/>
          <w:iCs/>
          <w:noProof/>
          <w:sz w:val="24"/>
        </w:rPr>
        <w:t>SSRN Electronic Journal</w:t>
      </w:r>
      <w:r w:rsidRPr="00405998">
        <w:rPr>
          <w:rFonts w:ascii="Times New Roman" w:hAnsi="Times New Roman" w:cs="Times New Roman"/>
          <w:noProof/>
          <w:sz w:val="24"/>
        </w:rPr>
        <w:t>. https://doi.org/10.2139/SSRN.3348465</w:t>
      </w:r>
    </w:p>
    <w:p w14:paraId="7818EC7A"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Sawyer, M., &amp; Veronese Passarella, M. (2021). A Comprehensive Comparison of Fiscal and Monetary Policies: A Comparative Dynamics Approach. </w:t>
      </w:r>
      <w:r w:rsidRPr="00405998">
        <w:rPr>
          <w:rFonts w:ascii="Times New Roman" w:hAnsi="Times New Roman" w:cs="Times New Roman"/>
          <w:i/>
          <w:iCs/>
          <w:noProof/>
          <w:sz w:val="24"/>
        </w:rPr>
        <w:t>Structural Change and Economic Dynamics</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59</w:t>
      </w:r>
      <w:r w:rsidRPr="00405998">
        <w:rPr>
          <w:rFonts w:ascii="Times New Roman" w:hAnsi="Times New Roman" w:cs="Times New Roman"/>
          <w:noProof/>
          <w:sz w:val="24"/>
        </w:rPr>
        <w:t>, 384–404. https://doi.org/10.1016/J.STRUECO.2021.08.009</w:t>
      </w:r>
    </w:p>
    <w:p w14:paraId="6F3508CA"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Tacanho, M. (2024). The Fraudulent and Ruinous Nature of Fiat Monetary Systems. </w:t>
      </w:r>
      <w:r w:rsidRPr="00405998">
        <w:rPr>
          <w:rFonts w:ascii="Times New Roman" w:hAnsi="Times New Roman" w:cs="Times New Roman"/>
          <w:i/>
          <w:iCs/>
          <w:noProof/>
          <w:sz w:val="24"/>
        </w:rPr>
        <w:t>SSRN Electronic Journal</w:t>
      </w:r>
      <w:r w:rsidRPr="00405998">
        <w:rPr>
          <w:rFonts w:ascii="Times New Roman" w:hAnsi="Times New Roman" w:cs="Times New Roman"/>
          <w:noProof/>
          <w:sz w:val="24"/>
        </w:rPr>
        <w:t>. https://doi.org/10.2139/SSRN.4931816</w:t>
      </w:r>
    </w:p>
    <w:p w14:paraId="609F32FA"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Temperini, J., D’Ippoliti, C., &amp; Gobbi, L. (2023). Is the time ripe for helicopter money? Growth impact and financial stability risks of outright monetary transfers. </w:t>
      </w:r>
      <w:r w:rsidRPr="00405998">
        <w:rPr>
          <w:rFonts w:ascii="Times New Roman" w:hAnsi="Times New Roman" w:cs="Times New Roman"/>
          <w:i/>
          <w:iCs/>
          <w:noProof/>
          <w:sz w:val="24"/>
        </w:rPr>
        <w:t>Structural Change and Economic Dynamics</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69</w:t>
      </w:r>
      <w:r w:rsidRPr="00405998">
        <w:rPr>
          <w:rFonts w:ascii="Times New Roman" w:hAnsi="Times New Roman" w:cs="Times New Roman"/>
          <w:noProof/>
          <w:sz w:val="24"/>
        </w:rPr>
        <w:t>, 24–36.</w:t>
      </w:r>
    </w:p>
    <w:p w14:paraId="56739BED" w14:textId="77777777" w:rsidR="00405998" w:rsidRPr="00405998" w:rsidRDefault="00405998" w:rsidP="000E27CD">
      <w:pPr>
        <w:widowControl w:val="0"/>
        <w:autoSpaceDE w:val="0"/>
        <w:autoSpaceDN w:val="0"/>
        <w:adjustRightInd w:val="0"/>
        <w:spacing w:line="240" w:lineRule="auto"/>
        <w:ind w:left="480" w:hanging="480"/>
        <w:jc w:val="both"/>
        <w:rPr>
          <w:rFonts w:ascii="Times New Roman" w:hAnsi="Times New Roman" w:cs="Times New Roman"/>
          <w:noProof/>
          <w:sz w:val="24"/>
        </w:rPr>
      </w:pPr>
      <w:r w:rsidRPr="00405998">
        <w:rPr>
          <w:rFonts w:ascii="Times New Roman" w:hAnsi="Times New Roman" w:cs="Times New Roman"/>
          <w:noProof/>
          <w:sz w:val="24"/>
        </w:rPr>
        <w:t xml:space="preserve">Tymoigne, E. (2023). Modern money theory on fiscal and monetary policies: empirics, theory, and praxis. </w:t>
      </w:r>
      <w:r w:rsidRPr="00405998">
        <w:rPr>
          <w:rFonts w:ascii="Times New Roman" w:hAnsi="Times New Roman" w:cs="Times New Roman"/>
          <w:i/>
          <w:iCs/>
          <w:noProof/>
          <w:sz w:val="24"/>
        </w:rPr>
        <w:t>European Journal of Economics and Economic Policies</w:t>
      </w:r>
      <w:r w:rsidRPr="00405998">
        <w:rPr>
          <w:rFonts w:ascii="Times New Roman" w:hAnsi="Times New Roman" w:cs="Times New Roman"/>
          <w:noProof/>
          <w:sz w:val="24"/>
        </w:rPr>
        <w:t xml:space="preserve">, </w:t>
      </w:r>
      <w:r w:rsidRPr="00405998">
        <w:rPr>
          <w:rFonts w:ascii="Times New Roman" w:hAnsi="Times New Roman" w:cs="Times New Roman"/>
          <w:i/>
          <w:iCs/>
          <w:noProof/>
          <w:sz w:val="24"/>
        </w:rPr>
        <w:t>20</w:t>
      </w:r>
      <w:r w:rsidRPr="00405998">
        <w:rPr>
          <w:rFonts w:ascii="Times New Roman" w:hAnsi="Times New Roman" w:cs="Times New Roman"/>
          <w:noProof/>
          <w:sz w:val="24"/>
        </w:rPr>
        <w:t xml:space="preserve">(1), 11–22. </w:t>
      </w:r>
      <w:r w:rsidRPr="00405998">
        <w:rPr>
          <w:rFonts w:ascii="Times New Roman" w:hAnsi="Times New Roman" w:cs="Times New Roman"/>
          <w:noProof/>
          <w:sz w:val="24"/>
        </w:rPr>
        <w:lastRenderedPageBreak/>
        <w:t>https://doi.org/10.4337/EJEEP.2022.0092</w:t>
      </w:r>
    </w:p>
    <w:p w14:paraId="6A6A79D0" w14:textId="7BE8C2ED" w:rsidR="00405998" w:rsidRPr="00405998" w:rsidRDefault="00405998" w:rsidP="000E27CD">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fldChar w:fldCharType="end"/>
      </w:r>
    </w:p>
    <w:sectPr w:rsidR="00405998" w:rsidRPr="00405998" w:rsidSect="002666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85A4D"/>
    <w:multiLevelType w:val="multilevel"/>
    <w:tmpl w:val="080E6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123DFC"/>
    <w:multiLevelType w:val="multilevel"/>
    <w:tmpl w:val="58CE6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881CEB"/>
    <w:multiLevelType w:val="hybridMultilevel"/>
    <w:tmpl w:val="235274BA"/>
    <w:lvl w:ilvl="0" w:tplc="2000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274874"/>
    <w:multiLevelType w:val="multilevel"/>
    <w:tmpl w:val="8140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C874D1"/>
    <w:multiLevelType w:val="hybridMultilevel"/>
    <w:tmpl w:val="A03C93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42324BE"/>
    <w:multiLevelType w:val="multilevel"/>
    <w:tmpl w:val="967C9D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5C4002"/>
    <w:multiLevelType w:val="multilevel"/>
    <w:tmpl w:val="8C24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673328"/>
    <w:multiLevelType w:val="multilevel"/>
    <w:tmpl w:val="813AF2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9A49FF"/>
    <w:multiLevelType w:val="multilevel"/>
    <w:tmpl w:val="EEAE1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EC62EA"/>
    <w:multiLevelType w:val="multilevel"/>
    <w:tmpl w:val="0ABE87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EB664E"/>
    <w:multiLevelType w:val="multilevel"/>
    <w:tmpl w:val="20084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954AD6"/>
    <w:multiLevelType w:val="multilevel"/>
    <w:tmpl w:val="54EA0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0910672">
    <w:abstractNumId w:val="11"/>
  </w:num>
  <w:num w:numId="2" w16cid:durableId="1112626066">
    <w:abstractNumId w:val="0"/>
  </w:num>
  <w:num w:numId="3" w16cid:durableId="1239444295">
    <w:abstractNumId w:val="1"/>
  </w:num>
  <w:num w:numId="4" w16cid:durableId="119957924">
    <w:abstractNumId w:val="9"/>
  </w:num>
  <w:num w:numId="5" w16cid:durableId="573588623">
    <w:abstractNumId w:val="7"/>
  </w:num>
  <w:num w:numId="6" w16cid:durableId="2141877148">
    <w:abstractNumId w:val="3"/>
  </w:num>
  <w:num w:numId="7" w16cid:durableId="2112120943">
    <w:abstractNumId w:val="6"/>
  </w:num>
  <w:num w:numId="8" w16cid:durableId="621376138">
    <w:abstractNumId w:val="5"/>
  </w:num>
  <w:num w:numId="9" w16cid:durableId="640186136">
    <w:abstractNumId w:val="10"/>
  </w:num>
  <w:num w:numId="10" w16cid:durableId="864290817">
    <w:abstractNumId w:val="8"/>
  </w:num>
  <w:num w:numId="11" w16cid:durableId="2122022791">
    <w:abstractNumId w:val="4"/>
  </w:num>
  <w:num w:numId="12" w16cid:durableId="515462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0"/>
  </w:compat>
  <w:rsids>
    <w:rsidRoot w:val="00956792"/>
    <w:rsid w:val="000042D3"/>
    <w:rsid w:val="00037DF7"/>
    <w:rsid w:val="00040235"/>
    <w:rsid w:val="000466E0"/>
    <w:rsid w:val="0004764B"/>
    <w:rsid w:val="00075208"/>
    <w:rsid w:val="000B7D55"/>
    <w:rsid w:val="000E27CD"/>
    <w:rsid w:val="001704D2"/>
    <w:rsid w:val="00174EFA"/>
    <w:rsid w:val="001A0480"/>
    <w:rsid w:val="001A2E76"/>
    <w:rsid w:val="001C6E07"/>
    <w:rsid w:val="00204A94"/>
    <w:rsid w:val="0020554A"/>
    <w:rsid w:val="002666B8"/>
    <w:rsid w:val="00290125"/>
    <w:rsid w:val="002B0652"/>
    <w:rsid w:val="002B7782"/>
    <w:rsid w:val="002C6268"/>
    <w:rsid w:val="003207C2"/>
    <w:rsid w:val="003860BB"/>
    <w:rsid w:val="003D6BC9"/>
    <w:rsid w:val="003E426A"/>
    <w:rsid w:val="003F79AD"/>
    <w:rsid w:val="00405998"/>
    <w:rsid w:val="004C11F0"/>
    <w:rsid w:val="00523E1E"/>
    <w:rsid w:val="0058052D"/>
    <w:rsid w:val="005824E9"/>
    <w:rsid w:val="005A5017"/>
    <w:rsid w:val="0065524F"/>
    <w:rsid w:val="006937AA"/>
    <w:rsid w:val="006F6EB2"/>
    <w:rsid w:val="007141CF"/>
    <w:rsid w:val="007240A0"/>
    <w:rsid w:val="007403C6"/>
    <w:rsid w:val="00743814"/>
    <w:rsid w:val="007A444F"/>
    <w:rsid w:val="00804F5B"/>
    <w:rsid w:val="008309CA"/>
    <w:rsid w:val="00834095"/>
    <w:rsid w:val="00871A07"/>
    <w:rsid w:val="008A07B4"/>
    <w:rsid w:val="008D3237"/>
    <w:rsid w:val="00956792"/>
    <w:rsid w:val="009D71D7"/>
    <w:rsid w:val="00A134D8"/>
    <w:rsid w:val="00A84251"/>
    <w:rsid w:val="00AA21EF"/>
    <w:rsid w:val="00B0246E"/>
    <w:rsid w:val="00B316A4"/>
    <w:rsid w:val="00B64B2D"/>
    <w:rsid w:val="00B74961"/>
    <w:rsid w:val="00C24F18"/>
    <w:rsid w:val="00C355E8"/>
    <w:rsid w:val="00C55232"/>
    <w:rsid w:val="00C87812"/>
    <w:rsid w:val="00CA055D"/>
    <w:rsid w:val="00CB6DEB"/>
    <w:rsid w:val="00CE2322"/>
    <w:rsid w:val="00D33ADE"/>
    <w:rsid w:val="00D545A6"/>
    <w:rsid w:val="00D70F45"/>
    <w:rsid w:val="00D74F59"/>
    <w:rsid w:val="00DC25BE"/>
    <w:rsid w:val="00DD51E1"/>
    <w:rsid w:val="00E02179"/>
    <w:rsid w:val="00E767D6"/>
    <w:rsid w:val="00ED7B50"/>
    <w:rsid w:val="00F41AE4"/>
    <w:rsid w:val="00F436F7"/>
    <w:rsid w:val="00F71441"/>
    <w:rsid w:val="00F964CA"/>
    <w:rsid w:val="00FE5F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0CFEF"/>
  <w15:chartTrackingRefBased/>
  <w15:docId w15:val="{1B3BFF9C-0BEB-4DAE-82B9-993365A0E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66B8"/>
    <w:pPr>
      <w:spacing w:after="160" w:line="259" w:lineRule="auto"/>
    </w:pPr>
    <w:rPr>
      <w:kern w:val="0"/>
      <w14:ligatures w14:val="none"/>
    </w:rPr>
  </w:style>
  <w:style w:type="paragraph" w:styleId="Heading1">
    <w:name w:val="heading 1"/>
    <w:basedOn w:val="Normal"/>
    <w:next w:val="Normal"/>
    <w:link w:val="Heading1Char"/>
    <w:uiPriority w:val="9"/>
    <w:qFormat/>
    <w:rsid w:val="0095679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95679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95679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95679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95679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9567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67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67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67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679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95679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95679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95679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95679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9567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67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67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6792"/>
    <w:rPr>
      <w:rFonts w:eastAsiaTheme="majorEastAsia" w:cstheme="majorBidi"/>
      <w:color w:val="272727" w:themeColor="text1" w:themeTint="D8"/>
    </w:rPr>
  </w:style>
  <w:style w:type="paragraph" w:styleId="Title">
    <w:name w:val="Title"/>
    <w:basedOn w:val="Normal"/>
    <w:next w:val="Normal"/>
    <w:link w:val="TitleChar"/>
    <w:uiPriority w:val="10"/>
    <w:qFormat/>
    <w:rsid w:val="009567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67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67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67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6792"/>
    <w:pPr>
      <w:spacing w:before="160"/>
      <w:jc w:val="center"/>
    </w:pPr>
    <w:rPr>
      <w:i/>
      <w:iCs/>
      <w:color w:val="404040" w:themeColor="text1" w:themeTint="BF"/>
    </w:rPr>
  </w:style>
  <w:style w:type="character" w:customStyle="1" w:styleId="QuoteChar">
    <w:name w:val="Quote Char"/>
    <w:basedOn w:val="DefaultParagraphFont"/>
    <w:link w:val="Quote"/>
    <w:uiPriority w:val="29"/>
    <w:rsid w:val="00956792"/>
    <w:rPr>
      <w:i/>
      <w:iCs/>
      <w:color w:val="404040" w:themeColor="text1" w:themeTint="BF"/>
    </w:rPr>
  </w:style>
  <w:style w:type="paragraph" w:styleId="ListParagraph">
    <w:name w:val="List Paragraph"/>
    <w:basedOn w:val="Normal"/>
    <w:uiPriority w:val="34"/>
    <w:qFormat/>
    <w:rsid w:val="00956792"/>
    <w:pPr>
      <w:ind w:left="720"/>
      <w:contextualSpacing/>
    </w:pPr>
  </w:style>
  <w:style w:type="character" w:styleId="IntenseEmphasis">
    <w:name w:val="Intense Emphasis"/>
    <w:basedOn w:val="DefaultParagraphFont"/>
    <w:uiPriority w:val="21"/>
    <w:qFormat/>
    <w:rsid w:val="00956792"/>
    <w:rPr>
      <w:i/>
      <w:iCs/>
      <w:color w:val="365F91" w:themeColor="accent1" w:themeShade="BF"/>
    </w:rPr>
  </w:style>
  <w:style w:type="paragraph" w:styleId="IntenseQuote">
    <w:name w:val="Intense Quote"/>
    <w:basedOn w:val="Normal"/>
    <w:next w:val="Normal"/>
    <w:link w:val="IntenseQuoteChar"/>
    <w:uiPriority w:val="30"/>
    <w:qFormat/>
    <w:rsid w:val="0095679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956792"/>
    <w:rPr>
      <w:i/>
      <w:iCs/>
      <w:color w:val="365F91" w:themeColor="accent1" w:themeShade="BF"/>
    </w:rPr>
  </w:style>
  <w:style w:type="character" w:styleId="IntenseReference">
    <w:name w:val="Intense Reference"/>
    <w:basedOn w:val="DefaultParagraphFont"/>
    <w:uiPriority w:val="32"/>
    <w:qFormat/>
    <w:rsid w:val="00956792"/>
    <w:rPr>
      <w:b/>
      <w:bCs/>
      <w:smallCaps/>
      <w:color w:val="365F91" w:themeColor="accent1" w:themeShade="BF"/>
      <w:spacing w:val="5"/>
    </w:rPr>
  </w:style>
  <w:style w:type="paragraph" w:styleId="NormalWeb">
    <w:name w:val="Normal (Web)"/>
    <w:basedOn w:val="Normal"/>
    <w:uiPriority w:val="99"/>
    <w:unhideWhenUsed/>
    <w:rsid w:val="002666B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666B8"/>
    <w:rPr>
      <w:b/>
      <w:bCs/>
    </w:rPr>
  </w:style>
  <w:style w:type="character" w:customStyle="1" w:styleId="mord">
    <w:name w:val="mord"/>
    <w:basedOn w:val="DefaultParagraphFont"/>
    <w:rsid w:val="002666B8"/>
  </w:style>
  <w:style w:type="character" w:customStyle="1" w:styleId="vlist-s">
    <w:name w:val="vlist-s"/>
    <w:basedOn w:val="DefaultParagraphFont"/>
    <w:rsid w:val="002666B8"/>
  </w:style>
  <w:style w:type="character" w:customStyle="1" w:styleId="mbin">
    <w:name w:val="mbin"/>
    <w:basedOn w:val="DefaultParagraphFont"/>
    <w:rsid w:val="002666B8"/>
  </w:style>
  <w:style w:type="character" w:customStyle="1" w:styleId="mrel">
    <w:name w:val="mrel"/>
    <w:basedOn w:val="DefaultParagraphFont"/>
    <w:rsid w:val="002666B8"/>
  </w:style>
  <w:style w:type="character" w:customStyle="1" w:styleId="katex-mathml">
    <w:name w:val="katex-mathml"/>
    <w:basedOn w:val="DefaultParagraphFont"/>
    <w:rsid w:val="002666B8"/>
  </w:style>
  <w:style w:type="character" w:customStyle="1" w:styleId="mopen">
    <w:name w:val="mopen"/>
    <w:basedOn w:val="DefaultParagraphFont"/>
    <w:rsid w:val="002666B8"/>
  </w:style>
  <w:style w:type="character" w:customStyle="1" w:styleId="mclose">
    <w:name w:val="mclose"/>
    <w:basedOn w:val="DefaultParagraphFont"/>
    <w:rsid w:val="002666B8"/>
  </w:style>
  <w:style w:type="character" w:styleId="Emphasis">
    <w:name w:val="Emphasis"/>
    <w:basedOn w:val="DefaultParagraphFont"/>
    <w:uiPriority w:val="20"/>
    <w:qFormat/>
    <w:rsid w:val="002666B8"/>
    <w:rPr>
      <w:i/>
      <w:iCs/>
    </w:rPr>
  </w:style>
  <w:style w:type="table" w:styleId="TableGrid">
    <w:name w:val="Table Grid"/>
    <w:basedOn w:val="TableNormal"/>
    <w:uiPriority w:val="39"/>
    <w:rsid w:val="002666B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5524F"/>
    <w:rPr>
      <w:color w:val="0000FF" w:themeColor="hyperlink"/>
      <w:u w:val="single"/>
    </w:rPr>
  </w:style>
  <w:style w:type="character" w:styleId="UnresolvedMention">
    <w:name w:val="Unresolved Mention"/>
    <w:basedOn w:val="DefaultParagraphFont"/>
    <w:uiPriority w:val="99"/>
    <w:semiHidden/>
    <w:unhideWhenUsed/>
    <w:rsid w:val="00655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arooq.Shabbir@iub.edu.p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2FFD2-8AA4-43D0-B008-4D30D0D76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12</Pages>
  <Words>34726</Words>
  <Characters>197941</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Nida Mahmood</dc:creator>
  <cp:keywords/>
  <dc:description/>
  <cp:lastModifiedBy>Nida Mahmood</cp:lastModifiedBy>
  <cp:revision>53</cp:revision>
  <dcterms:created xsi:type="dcterms:W3CDTF">2025-11-17T04:44:00Z</dcterms:created>
  <dcterms:modified xsi:type="dcterms:W3CDTF">2025-11-18T10:43:00Z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2c44b6de-6de3-3905-a1db-82f2327cf4a2</vt:lpwstr>
  </property>
  <property fmtid="{D5CDD505-2E9C-101B-9397-08002B2CF9AE}" pid="24" name="Mendeley Citation Style_1">
    <vt:lpwstr>http://www.zotero.org/styles/apa</vt:lpwstr>
  </property>
</Properties>
</file>