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6D67" w14:textId="77777777" w:rsidR="008D6FC3" w:rsidRPr="00A16A54" w:rsidRDefault="00000000">
      <w:pPr>
        <w:spacing w:after="50" w:line="224" w:lineRule="auto"/>
        <w:jc w:val="center"/>
        <w:rPr>
          <w:b/>
          <w:bCs/>
        </w:rPr>
      </w:pPr>
      <w:r w:rsidRPr="00A16A54">
        <w:rPr>
          <w:b/>
          <w:bCs/>
          <w:sz w:val="34"/>
        </w:rPr>
        <w:t>Reforming Money and Banking: How a Full-Reserve,</w:t>
      </w:r>
    </w:p>
    <w:p w14:paraId="0918ECC0" w14:textId="77777777" w:rsidR="008D6FC3" w:rsidRPr="00A16A54" w:rsidRDefault="00000000">
      <w:pPr>
        <w:spacing w:after="303" w:line="224" w:lineRule="auto"/>
        <w:ind w:right="104"/>
        <w:jc w:val="center"/>
        <w:rPr>
          <w:b/>
          <w:bCs/>
        </w:rPr>
      </w:pPr>
      <w:r w:rsidRPr="00A16A54">
        <w:rPr>
          <w:b/>
          <w:bCs/>
          <w:sz w:val="34"/>
        </w:rPr>
        <w:t>Interest-Free System Can Eliminate Government Debt, Deficits, and Inflation</w:t>
      </w:r>
    </w:p>
    <w:p w14:paraId="1C3F3D8C" w14:textId="3374F707" w:rsidR="008D6FC3" w:rsidRDefault="00A16A54">
      <w:pPr>
        <w:spacing w:after="273" w:line="259" w:lineRule="auto"/>
        <w:jc w:val="center"/>
      </w:pPr>
      <w:r>
        <w:rPr>
          <w:sz w:val="24"/>
        </w:rPr>
        <w:t>Mehwish Khan</w:t>
      </w:r>
    </w:p>
    <w:p w14:paraId="4128D563" w14:textId="77777777" w:rsidR="008D6FC3" w:rsidRDefault="00000000">
      <w:pPr>
        <w:spacing w:after="470" w:line="259" w:lineRule="auto"/>
        <w:jc w:val="center"/>
      </w:pPr>
      <w:r>
        <w:rPr>
          <w:sz w:val="24"/>
        </w:rPr>
        <w:t>October 2025</w:t>
      </w:r>
    </w:p>
    <w:p w14:paraId="568F1347" w14:textId="77777777" w:rsidR="008D6FC3" w:rsidRDefault="00000000">
      <w:pPr>
        <w:pStyle w:val="Heading1"/>
        <w:numPr>
          <w:ilvl w:val="0"/>
          <w:numId w:val="0"/>
        </w:numPr>
        <w:ind w:left="-5"/>
      </w:pPr>
      <w:r>
        <w:t>Introduction</w:t>
      </w:r>
    </w:p>
    <w:p w14:paraId="49E35C3D" w14:textId="062744B0" w:rsidR="008D6FC3" w:rsidRDefault="00000000">
      <w:pPr>
        <w:spacing w:after="491"/>
        <w:ind w:left="-5" w:right="279"/>
      </w:pPr>
      <w:r>
        <w:t xml:space="preserve">The global economy is perpetually haunted by the </w:t>
      </w:r>
      <w:r w:rsidR="00A16A54">
        <w:t>specters</w:t>
      </w:r>
      <w:r>
        <w:t xml:space="preserve"> of financial instability, unsustainable government debt, and persistent inflationary pressures. The conventional response to these crises—cyclical adjustments of interest rates and increasingly complex regulatory frameworks— treats the symptoms rather than the root cause. This essay posits that the fundamental mechanism driving this systemic fragility is the modern fractional reserve, interest-based banking model. By empowering commercial banks to create money through debt, this system introduces an inherent instability that necessitates perpetual growth and guarantees the escalation of both private and public liabilities. The solution is not merely regulatory but structural: a transition to a </w:t>
      </w:r>
      <w:r>
        <w:rPr>
          <w:b/>
        </w:rPr>
        <w:t xml:space="preserve">full-reserve, interest-free monetary and banking system </w:t>
      </w:r>
      <w:r>
        <w:t>(FRIF system). This comprehensive reform, rooted in both historical proposals (such as the Chicago Plan) and principles of ethical finance, promises to fundamentally restructure economic incentives, effectively eliminate the structural necessity of government debt and deficits, and restore stability by enabling precise control over the money supply, thus mitigating persistent inflation.</w:t>
      </w:r>
    </w:p>
    <w:p w14:paraId="32567B02" w14:textId="77777777" w:rsidR="008D6FC3" w:rsidRDefault="00000000">
      <w:pPr>
        <w:pStyle w:val="Heading1"/>
        <w:ind w:left="436" w:hanging="451"/>
      </w:pPr>
      <w:r>
        <w:t>The Flaw in the Algorithm: Fractional Reserve and Debt-Based Money</w:t>
      </w:r>
    </w:p>
    <w:p w14:paraId="3AB9D651" w14:textId="77777777" w:rsidR="008D6FC3" w:rsidRDefault="00000000">
      <w:pPr>
        <w:ind w:left="-5" w:right="279"/>
      </w:pPr>
      <w:r>
        <w:t>The single most consequential feature of the modern monetary system is often the least understood: the vast majority of the money supply in circulation is created not by the government or central bank, but by private commercial banks when they extend loans. Under the fractional reserve model, banks are required to hold only a small fraction of customer deposits as reserves, allowing them to lend out the rest, thus creating new deposit money. This process is eloquently summarized by the adage: “Loans create deposits.”</w:t>
      </w:r>
    </w:p>
    <w:p w14:paraId="065FAC0F" w14:textId="77777777" w:rsidR="008D6FC3" w:rsidRDefault="00000000">
      <w:pPr>
        <w:ind w:left="-5" w:right="279"/>
      </w:pPr>
      <w:r>
        <w:t xml:space="preserve">The critical flaw inherent in this mechanism is that every unit of money created by a commercial bank is simultaneously a unit of debt. When a bank lends </w:t>
      </w:r>
      <w:r>
        <w:rPr>
          <w:rFonts w:ascii="Cambria" w:eastAsia="Cambria" w:hAnsi="Cambria" w:cs="Cambria"/>
          <w:sz w:val="34"/>
          <w:vertAlign w:val="subscript"/>
        </w:rPr>
        <w:t>$100</w:t>
      </w:r>
      <w:r>
        <w:rPr>
          <w:rFonts w:ascii="Cambria" w:eastAsia="Cambria" w:hAnsi="Cambria" w:cs="Cambria"/>
          <w:i/>
          <w:sz w:val="34"/>
          <w:vertAlign w:val="subscript"/>
        </w:rPr>
        <w:t>,</w:t>
      </w:r>
      <w:r>
        <w:rPr>
          <w:rFonts w:ascii="Cambria" w:eastAsia="Cambria" w:hAnsi="Cambria" w:cs="Cambria"/>
          <w:sz w:val="34"/>
          <w:vertAlign w:val="subscript"/>
        </w:rPr>
        <w:t>000</w:t>
      </w:r>
      <w:r>
        <w:t xml:space="preserve">, it creates a new deposit of </w:t>
      </w:r>
      <w:r>
        <w:rPr>
          <w:rFonts w:ascii="Cambria" w:eastAsia="Cambria" w:hAnsi="Cambria" w:cs="Cambria"/>
          <w:sz w:val="34"/>
          <w:vertAlign w:val="subscript"/>
        </w:rPr>
        <w:t>$100</w:t>
      </w:r>
      <w:r>
        <w:rPr>
          <w:rFonts w:ascii="Cambria" w:eastAsia="Cambria" w:hAnsi="Cambria" w:cs="Cambria"/>
          <w:i/>
          <w:sz w:val="34"/>
          <w:vertAlign w:val="subscript"/>
        </w:rPr>
        <w:t>,</w:t>
      </w:r>
      <w:r>
        <w:rPr>
          <w:rFonts w:ascii="Cambria" w:eastAsia="Cambria" w:hAnsi="Cambria" w:cs="Cambria"/>
          <w:sz w:val="34"/>
          <w:vertAlign w:val="subscript"/>
        </w:rPr>
        <w:t xml:space="preserve">000 </w:t>
      </w:r>
      <w:r>
        <w:t xml:space="preserve">and a liability for the borrower to repay </w:t>
      </w:r>
      <w:r>
        <w:rPr>
          <w:rFonts w:ascii="Cambria" w:eastAsia="Cambria" w:hAnsi="Cambria" w:cs="Cambria"/>
          <w:sz w:val="34"/>
          <w:vertAlign w:val="subscript"/>
        </w:rPr>
        <w:t>$100</w:t>
      </w:r>
      <w:r>
        <w:rPr>
          <w:rFonts w:ascii="Cambria" w:eastAsia="Cambria" w:hAnsi="Cambria" w:cs="Cambria"/>
          <w:i/>
          <w:sz w:val="34"/>
          <w:vertAlign w:val="subscript"/>
        </w:rPr>
        <w:t>,</w:t>
      </w:r>
      <w:r>
        <w:rPr>
          <w:rFonts w:ascii="Cambria" w:eastAsia="Cambria" w:hAnsi="Cambria" w:cs="Cambria"/>
          <w:sz w:val="34"/>
          <w:vertAlign w:val="subscript"/>
        </w:rPr>
        <w:t xml:space="preserve">000 </w:t>
      </w:r>
      <w:r>
        <w:rPr>
          <w:i/>
        </w:rPr>
        <w:t xml:space="preserve">plus interest </w:t>
      </w:r>
      <w:r>
        <w:t>(</w:t>
      </w:r>
      <w:r>
        <w:rPr>
          <w:i/>
        </w:rPr>
        <w:t>Riba</w:t>
      </w:r>
      <w:r>
        <w:t xml:space="preserve">). The money required to pay the principal exists, but the money required to pay the interest does not. This structural gap, known as the </w:t>
      </w:r>
      <w:r>
        <w:rPr>
          <w:b/>
        </w:rPr>
        <w:t>Debt Imperative</w:t>
      </w:r>
      <w:r>
        <w:t xml:space="preserve">, forces a continuous expansion of debt to ensure the money supply grows sufficiently to cover past and present interest obligations. Mathematically, the money supply </w:t>
      </w:r>
      <w:r>
        <w:rPr>
          <w:rFonts w:ascii="Cambria" w:eastAsia="Cambria" w:hAnsi="Cambria" w:cs="Cambria"/>
          <w:i/>
          <w:sz w:val="34"/>
          <w:vertAlign w:val="subscript"/>
        </w:rPr>
        <w:t xml:space="preserve">M </w:t>
      </w:r>
      <w:r>
        <w:t xml:space="preserve">must grow faster than the average interest rate </w:t>
      </w:r>
      <w:r>
        <w:rPr>
          <w:rFonts w:ascii="Cambria" w:eastAsia="Cambria" w:hAnsi="Cambria" w:cs="Cambria"/>
          <w:i/>
          <w:sz w:val="34"/>
          <w:vertAlign w:val="subscript"/>
        </w:rPr>
        <w:t xml:space="preserve">r </w:t>
      </w:r>
      <w:r>
        <w:t>to prevent widespread defaults:</w:t>
      </w:r>
    </w:p>
    <w:p w14:paraId="1F586BA1" w14:textId="77777777" w:rsidR="008D6FC3" w:rsidRDefault="00000000">
      <w:pPr>
        <w:spacing w:after="204" w:line="259" w:lineRule="auto"/>
        <w:ind w:left="4266" w:right="0" w:firstLine="0"/>
        <w:jc w:val="left"/>
      </w:pPr>
      <w:r>
        <w:rPr>
          <w:noProof/>
        </w:rPr>
        <w:lastRenderedPageBreak/>
        <w:drawing>
          <wp:inline distT="0" distB="0" distL="0" distR="0" wp14:anchorId="5F127366" wp14:editId="61E1F32F">
            <wp:extent cx="637032" cy="289560"/>
            <wp:effectExtent l="0" t="0" r="0" b="0"/>
            <wp:docPr id="4721" name="Picture 4721"/>
            <wp:cNvGraphicFramePr/>
            <a:graphic xmlns:a="http://schemas.openxmlformats.org/drawingml/2006/main">
              <a:graphicData uri="http://schemas.openxmlformats.org/drawingml/2006/picture">
                <pic:pic xmlns:pic="http://schemas.openxmlformats.org/drawingml/2006/picture">
                  <pic:nvPicPr>
                    <pic:cNvPr id="4721" name="Picture 4721"/>
                    <pic:cNvPicPr/>
                  </pic:nvPicPr>
                  <pic:blipFill>
                    <a:blip r:embed="rId7"/>
                    <a:stretch>
                      <a:fillRect/>
                    </a:stretch>
                  </pic:blipFill>
                  <pic:spPr>
                    <a:xfrm>
                      <a:off x="0" y="0"/>
                      <a:ext cx="637032" cy="289560"/>
                    </a:xfrm>
                    <a:prstGeom prst="rect">
                      <a:avLst/>
                    </a:prstGeom>
                  </pic:spPr>
                </pic:pic>
              </a:graphicData>
            </a:graphic>
          </wp:inline>
        </w:drawing>
      </w:r>
    </w:p>
    <w:p w14:paraId="1E25D176" w14:textId="528AE64B" w:rsidR="008D6FC3" w:rsidRDefault="00000000">
      <w:pPr>
        <w:ind w:left="-5" w:right="279"/>
      </w:pPr>
      <w:r>
        <w:t xml:space="preserve">This imperative dictates the cyclical, pro-cyclical nature of the economy. During boom periods, banks expand credit aggressively, injecting too much money into the system and </w:t>
      </w:r>
      <w:r w:rsidR="00A16A54">
        <w:t>fueling</w:t>
      </w:r>
      <w:r>
        <w:t xml:space="preserve"> asset bubbles. Inevitably, when debt servicing costs become unsustainable, the credit bubble bursts, banks contract lending, and the money supply shrinks, leading to recession, deflationary pressure, and systemic risk.</w:t>
      </w:r>
    </w:p>
    <w:p w14:paraId="2BE16AC5" w14:textId="77777777" w:rsidR="008D6FC3" w:rsidRDefault="00000000">
      <w:pPr>
        <w:spacing w:after="491"/>
        <w:ind w:left="-5" w:right="279"/>
      </w:pPr>
      <w:r>
        <w:t>Furthermore, the integration of money creation with private profit motives introduces the moral hazard that permeates modern finance. Banks benefit from riskier, more frequent lending cycles, knowing that their demand deposits are implicitly or explicitly backstopped by the government as the lender of last resort. This link ensures that private failure is often nationalized, transferring private risk to public liability.</w:t>
      </w:r>
    </w:p>
    <w:p w14:paraId="01C9C550" w14:textId="77777777" w:rsidR="008D6FC3" w:rsidRDefault="00000000">
      <w:pPr>
        <w:pStyle w:val="Heading1"/>
        <w:ind w:left="436" w:hanging="451"/>
      </w:pPr>
      <w:r>
        <w:t>The Triple Threat: Structural Debt, Deficits, and Hidden Inflation</w:t>
      </w:r>
    </w:p>
    <w:p w14:paraId="34A334F4" w14:textId="77777777" w:rsidR="008D6FC3" w:rsidRDefault="00000000">
      <w:pPr>
        <w:spacing w:after="382"/>
        <w:ind w:left="-5" w:right="279"/>
      </w:pPr>
      <w:r>
        <w:t>The inherent flaws of the fractional reserve system manifest as a persistent triple threat to sovereign fiscal health and economic stability: perpetual government debt, structural fiscal deficits, and uncontrollable inflation.</w:t>
      </w:r>
    </w:p>
    <w:p w14:paraId="74333288" w14:textId="77777777" w:rsidR="008D6FC3" w:rsidRDefault="00000000">
      <w:pPr>
        <w:pStyle w:val="Heading2"/>
        <w:ind w:left="566" w:hanging="581"/>
      </w:pPr>
      <w:r>
        <w:t>Perpetual Government Debt and the Seigniorage Transfer</w:t>
      </w:r>
    </w:p>
    <w:p w14:paraId="6B267D98" w14:textId="77777777" w:rsidR="008D6FC3" w:rsidRDefault="00000000">
      <w:pPr>
        <w:ind w:left="-5" w:right="279"/>
      </w:pPr>
      <w:r>
        <w:t>In the conventional system, government financing is fundamentally compromised. To fund deficits, governments issue interest-bearing bonds (Treasuries). Commercial banks and other institutions then buy these bonds, often using deposits created through the fractional reserve process. This means the money that funds government spending is ultimately debt-money, carrying an interest charge.</w:t>
      </w:r>
    </w:p>
    <w:p w14:paraId="3EAD2987" w14:textId="77777777" w:rsidR="008D6FC3" w:rsidRDefault="00000000">
      <w:pPr>
        <w:ind w:left="-5" w:right="279"/>
      </w:pPr>
      <w:r>
        <w:t xml:space="preserve">The national debt, therefore, is not merely a record of past overspending but a </w:t>
      </w:r>
      <w:r>
        <w:rPr>
          <w:b/>
        </w:rPr>
        <w:t xml:space="preserve">structural necessity </w:t>
      </w:r>
      <w:r>
        <w:t>of the money creation system. If the government were to consistently run surpluses and pay down the debt, it would remove a critical quantity of high-quality, liquid assets from the banking system and prevent the banks from using those assets as collateral to create even more money. The system is structurally dependent on the continuous injection of high-powered money via government deficit spending.</w:t>
      </w:r>
    </w:p>
    <w:p w14:paraId="141EFCE2" w14:textId="77777777" w:rsidR="008D6FC3" w:rsidRDefault="00000000">
      <w:pPr>
        <w:spacing w:after="382"/>
        <w:ind w:left="-5" w:right="279"/>
      </w:pPr>
      <w:r>
        <w:t>The current system also involves a massive, unseen transfer of seigniorage—the profit from creating money—from the public to the private sector. The government borrows at interest to finance its operations, while private banks essentially create interest-bearing loans (money) out of a fraction of their reserves. This mechanism forces the public to pay interest on money that was created by the banks as debt, locking the state into a cycle of increasing debt service payments that consume public revenue, thus guaranteeing structural deficits.</w:t>
      </w:r>
    </w:p>
    <w:p w14:paraId="03D81F9B" w14:textId="77777777" w:rsidR="008D6FC3" w:rsidRDefault="00000000">
      <w:pPr>
        <w:pStyle w:val="Heading2"/>
        <w:ind w:left="566" w:hanging="581"/>
      </w:pPr>
      <w:r>
        <w:t>Inflation as a Hidden Tax</w:t>
      </w:r>
    </w:p>
    <w:p w14:paraId="154124F3" w14:textId="77777777" w:rsidR="008D6FC3" w:rsidRDefault="00000000">
      <w:pPr>
        <w:ind w:left="-5" w:right="279"/>
      </w:pPr>
      <w:r>
        <w:t>Inflation, often defined as “too much money chasing too few goods,” is a direct consequence of the fractional reserve system’s inherent inability to control the money supply. When banks increase lending during economic expansions, the money supply (M2/M3) grows far faster than the output of the real economy. This excess liquidity inflates asset prices (stocks, real estate) first, a phenomenon often benefiting the wealthy (</w:t>
      </w:r>
      <w:r>
        <w:rPr>
          <w:i/>
        </w:rPr>
        <w:t>Cantillon Effect</w:t>
      </w:r>
      <w:r>
        <w:t>), before spilling over into broad consumer price inflation.</w:t>
      </w:r>
    </w:p>
    <w:p w14:paraId="7F33351F" w14:textId="77777777" w:rsidR="008D6FC3" w:rsidRDefault="00000000">
      <w:pPr>
        <w:spacing w:after="491"/>
        <w:ind w:left="-5" w:right="279"/>
      </w:pPr>
      <w:r>
        <w:lastRenderedPageBreak/>
        <w:t xml:space="preserve">This inflationary expansion acts as a </w:t>
      </w:r>
      <w:r>
        <w:rPr>
          <w:b/>
        </w:rPr>
        <w:t xml:space="preserve">hidden tax </w:t>
      </w:r>
      <w:r>
        <w:t xml:space="preserve">on all holders of cash, systematically eroding their purchasing power. Poorer and middle-class households, who hold a larger percentage of their wealth in cash and do not benefit from leveraged asset appreciation, suffer disproportionately. The central bank’s only tool to combat this—raising interest rates—is a blunt instrument that slows down the </w:t>
      </w:r>
      <w:r>
        <w:rPr>
          <w:i/>
        </w:rPr>
        <w:t xml:space="preserve">real </w:t>
      </w:r>
      <w:r>
        <w:t>economy (investment, hiring) without fundamentally addressing the private, profit-driven creation of credit-money that started the inflation in the first place. Therefore, the system is designed to oscillate between unstable boom, inflation, and subsequent painful recession.</w:t>
      </w:r>
    </w:p>
    <w:p w14:paraId="6A89E4F7" w14:textId="77777777" w:rsidR="008D6FC3" w:rsidRDefault="00000000">
      <w:pPr>
        <w:pStyle w:val="Heading1"/>
        <w:ind w:left="436" w:hanging="451"/>
      </w:pPr>
      <w:r>
        <w:t>The Full-Reserve Protocol: A Systemic Redesign</w:t>
      </w:r>
    </w:p>
    <w:p w14:paraId="4721B790" w14:textId="15F40A49" w:rsidR="008D6FC3" w:rsidRDefault="00000000">
      <w:pPr>
        <w:spacing w:after="382"/>
        <w:ind w:left="-5" w:right="279"/>
      </w:pPr>
      <w:r>
        <w:t xml:space="preserve">The foundational premise of the FRIF reform is the definitive </w:t>
      </w:r>
      <w:r>
        <w:rPr>
          <w:b/>
        </w:rPr>
        <w:t>separation</w:t>
      </w:r>
      <w:r w:rsidR="00A16A54">
        <w:rPr>
          <w:b/>
        </w:rPr>
        <w:t xml:space="preserve"> </w:t>
      </w:r>
      <w:r>
        <w:rPr>
          <w:b/>
        </w:rPr>
        <w:t>of</w:t>
      </w:r>
      <w:r w:rsidR="00A16A54">
        <w:rPr>
          <w:b/>
        </w:rPr>
        <w:t xml:space="preserve"> </w:t>
      </w:r>
      <w:r>
        <w:rPr>
          <w:b/>
        </w:rPr>
        <w:t>the</w:t>
      </w:r>
      <w:r w:rsidR="00A16A54">
        <w:rPr>
          <w:b/>
        </w:rPr>
        <w:t xml:space="preserve"> </w:t>
      </w:r>
      <w:r>
        <w:rPr>
          <w:b/>
        </w:rPr>
        <w:t>monetary</w:t>
      </w:r>
      <w:r w:rsidR="00A16A54">
        <w:rPr>
          <w:b/>
        </w:rPr>
        <w:t xml:space="preserve"> </w:t>
      </w:r>
      <w:r>
        <w:rPr>
          <w:b/>
        </w:rPr>
        <w:t>function from the credit function</w:t>
      </w:r>
      <w:r>
        <w:t>. This structural re-engineering transfers the power to create money from the profit-motivated private sector back to the public domain, making money a stable, reliable public utility rather than a private, debt-generating commodity.</w:t>
      </w:r>
    </w:p>
    <w:p w14:paraId="738BF55D" w14:textId="77777777" w:rsidR="008D6FC3" w:rsidRDefault="00000000">
      <w:pPr>
        <w:pStyle w:val="Heading2"/>
        <w:ind w:left="566" w:hanging="581"/>
      </w:pPr>
      <w:r>
        <w:t>The Separation Principle and 100% Reserves</w:t>
      </w:r>
    </w:p>
    <w:p w14:paraId="5B50D9C2" w14:textId="77777777" w:rsidR="008D6FC3" w:rsidRDefault="00000000">
      <w:pPr>
        <w:ind w:left="-5" w:right="279"/>
      </w:pPr>
      <w:r>
        <w:t>The core institutional change involves splitting banking operations into two distinct entities:</w:t>
      </w:r>
    </w:p>
    <w:p w14:paraId="47BED3BF" w14:textId="77777777" w:rsidR="008D6FC3" w:rsidRDefault="00000000">
      <w:pPr>
        <w:numPr>
          <w:ilvl w:val="0"/>
          <w:numId w:val="1"/>
        </w:numPr>
        <w:ind w:right="279" w:hanging="292"/>
      </w:pPr>
      <w:r>
        <w:rPr>
          <w:b/>
        </w:rPr>
        <w:t xml:space="preserve">Monetary/Transaction Banks (100% Reserve): </w:t>
      </w:r>
      <w:r>
        <w:t>These institutions would act as pure custodians, offering deposit and payment services. They would be legally required to hold 100% reserves—sovereign money issued by the central authority—against all demand (checking) accounts. These accounts would be risk-free, non-interest bearing, and instantly redeemable, completely eliminating the possibility of a bank run. In this scenario, the bank cannot fail due to liquidity shortages, and the need for deposit insurance or taxpayer-funded bailouts vanishes.</w:t>
      </w:r>
    </w:p>
    <w:p w14:paraId="7ECE3248" w14:textId="77777777" w:rsidR="008D6FC3" w:rsidRDefault="00000000">
      <w:pPr>
        <w:numPr>
          <w:ilvl w:val="0"/>
          <w:numId w:val="1"/>
        </w:numPr>
        <w:spacing w:after="382"/>
        <w:ind w:right="279" w:hanging="292"/>
      </w:pPr>
      <w:r>
        <w:rPr>
          <w:b/>
        </w:rPr>
        <w:t xml:space="preserve">Investment/Credit Institutions: </w:t>
      </w:r>
      <w:r>
        <w:t xml:space="preserve">These firms would function as true financial intermediaries. They would lend money that they have either borrowed from the sovereign authority, raised through equity, or secured as time-deposit (savings) accounts. Crucially, they would </w:t>
      </w:r>
      <w:r>
        <w:rPr>
          <w:i/>
        </w:rPr>
        <w:t xml:space="preserve">not </w:t>
      </w:r>
      <w:r>
        <w:t>be able to create new money. They would intermediate existing money from savers to borrowers, forcing them to price risk accurately and bear their own losses, thus restoring market discipline.</w:t>
      </w:r>
    </w:p>
    <w:p w14:paraId="476BE393" w14:textId="77777777" w:rsidR="008D6FC3" w:rsidRDefault="00000000">
      <w:pPr>
        <w:pStyle w:val="Heading2"/>
        <w:ind w:left="566" w:hanging="581"/>
      </w:pPr>
      <w:r>
        <w:t>Sovereign Money Creation and Fiscal Freedom</w:t>
      </w:r>
    </w:p>
    <w:p w14:paraId="11065C24" w14:textId="11703F36" w:rsidR="008D6FC3" w:rsidRDefault="00000000">
      <w:pPr>
        <w:ind w:left="-5" w:right="279"/>
      </w:pPr>
      <w:r>
        <w:t xml:space="preserve">Under the full-reserve model, the central bank becomes the sole issuer of all primary, </w:t>
      </w:r>
      <w:r w:rsidR="00A16A54">
        <w:t>legal tender</w:t>
      </w:r>
      <w:r>
        <w:t xml:space="preserve"> money. This </w:t>
      </w:r>
      <w:r>
        <w:rPr>
          <w:b/>
        </w:rPr>
        <w:t xml:space="preserve">sovereign money </w:t>
      </w:r>
      <w:r>
        <w:t xml:space="preserve">is issued </w:t>
      </w:r>
      <w:r>
        <w:rPr>
          <w:b/>
        </w:rPr>
        <w:t>debt-free</w:t>
      </w:r>
      <w:r>
        <w:t>—it does not require a corresponding loan and interest payment to come into existence.</w:t>
      </w:r>
    </w:p>
    <w:p w14:paraId="3C098D79" w14:textId="77777777" w:rsidR="008D6FC3" w:rsidRDefault="00000000">
      <w:pPr>
        <w:ind w:left="-5" w:right="279"/>
      </w:pPr>
      <w:r>
        <w:t xml:space="preserve">The government gains a stable, non-debt source of revenue through </w:t>
      </w:r>
      <w:r>
        <w:rPr>
          <w:b/>
        </w:rPr>
        <w:t>seigniorage</w:t>
      </w:r>
      <w:r>
        <w:t>, or the profit from money issuance. The central authority determines the required growth rate of the money supply necessary to support economic growth (GDP expansion) and maintain stable prices. This newly created money is then injected into the economy through transparent public spending (e.g., funding infrastructure, reducing taxes, or paying down existing debt) rather than through interest-bearing loans.</w:t>
      </w:r>
    </w:p>
    <w:p w14:paraId="55851DDE" w14:textId="77777777" w:rsidR="008D6FC3" w:rsidRDefault="00000000">
      <w:pPr>
        <w:ind w:left="-5" w:right="279"/>
      </w:pPr>
      <w:r>
        <w:t xml:space="preserve">This singular reform eliminates the structural necessity of Treasury issuance to finance money supply growth. Instead of borrowing debt-money into existence and paying interest on it, the </w:t>
      </w:r>
      <w:r>
        <w:lastRenderedPageBreak/>
        <w:t>government issues debt-free money to fund its legitimate activities up to the non-inflationary capacity of the real economy.</w:t>
      </w:r>
    </w:p>
    <w:p w14:paraId="6ED7AF5A" w14:textId="77777777" w:rsidR="008D6FC3" w:rsidRDefault="00000000">
      <w:pPr>
        <w:pStyle w:val="Heading1"/>
        <w:ind w:left="436" w:hanging="451"/>
      </w:pPr>
      <w:r>
        <w:t>The Interest-Free Imperative and Equity Finance</w:t>
      </w:r>
    </w:p>
    <w:p w14:paraId="636F0A80" w14:textId="41D1AB39" w:rsidR="008D6FC3" w:rsidRDefault="00000000">
      <w:pPr>
        <w:spacing w:after="382"/>
        <w:ind w:left="-5" w:right="279"/>
      </w:pPr>
      <w:r>
        <w:t xml:space="preserve">Coupling the full-reserve structure with an interest-free mandate is essential to achieving </w:t>
      </w:r>
      <w:r w:rsidR="00A16A54">
        <w:t>long-term</w:t>
      </w:r>
      <w:r>
        <w:t xml:space="preserve"> economic stability and justice. The prohibition of </w:t>
      </w:r>
      <w:r>
        <w:rPr>
          <w:i/>
        </w:rPr>
        <w:t xml:space="preserve">Riba </w:t>
      </w:r>
      <w:r>
        <w:t>(usury or exploitative interest) in Islamic finance is not merely an ethical injunction but a deep economic principle aimed at preventing systemic risk and wealth concentration.</w:t>
      </w:r>
    </w:p>
    <w:p w14:paraId="35F2C59D" w14:textId="77777777" w:rsidR="008D6FC3" w:rsidRDefault="00000000">
      <w:pPr>
        <w:pStyle w:val="Heading2"/>
        <w:ind w:left="566" w:hanging="581"/>
      </w:pPr>
      <w:r>
        <w:t>Riba, Distortion, and Concentration</w:t>
      </w:r>
    </w:p>
    <w:p w14:paraId="3D93EE34" w14:textId="77777777" w:rsidR="008D6FC3" w:rsidRDefault="00000000">
      <w:pPr>
        <w:ind w:left="-5" w:right="279"/>
      </w:pPr>
      <w:r>
        <w:t>Interest is economically damaging for several reasons:</w:t>
      </w:r>
    </w:p>
    <w:p w14:paraId="6F261662" w14:textId="77777777" w:rsidR="008D6FC3" w:rsidRDefault="00000000">
      <w:pPr>
        <w:numPr>
          <w:ilvl w:val="0"/>
          <w:numId w:val="2"/>
        </w:numPr>
        <w:ind w:right="279" w:hanging="292"/>
      </w:pPr>
      <w:r>
        <w:rPr>
          <w:b/>
        </w:rPr>
        <w:t xml:space="preserve">Risk Distortion: </w:t>
      </w:r>
      <w:r>
        <w:t>A debt contract places all risk on the entrepreneur/borrower while guaranteeing a fixed return to the financier, regardless of the project’s performance. This misalignment encourages over-leveraging and unstable speculative behavior in the economy.</w:t>
      </w:r>
    </w:p>
    <w:p w14:paraId="2335911C" w14:textId="77777777" w:rsidR="008D6FC3" w:rsidRDefault="00000000">
      <w:pPr>
        <w:numPr>
          <w:ilvl w:val="0"/>
          <w:numId w:val="2"/>
        </w:numPr>
        <w:ind w:right="279" w:hanging="292"/>
      </w:pPr>
      <w:r>
        <w:rPr>
          <w:b/>
        </w:rPr>
        <w:t xml:space="preserve">Wealth Concentration: </w:t>
      </w:r>
      <w:r>
        <w:t xml:space="preserve">Interest facilitates the accumulation of wealth without productive effort. As capital earns a guaranteed return, wealth tends to compound at the top, increasing economic inequality. The interest rate </w:t>
      </w:r>
      <w:r>
        <w:rPr>
          <w:rFonts w:ascii="Cambria" w:eastAsia="Cambria" w:hAnsi="Cambria" w:cs="Cambria"/>
          <w:i/>
          <w:sz w:val="34"/>
          <w:vertAlign w:val="subscript"/>
        </w:rPr>
        <w:t xml:space="preserve">ρ </w:t>
      </w:r>
      <w:r>
        <w:t xml:space="preserve">ensures that a wealth portfolio </w:t>
      </w:r>
      <w:r>
        <w:rPr>
          <w:rFonts w:ascii="Cambria" w:eastAsia="Cambria" w:hAnsi="Cambria" w:cs="Cambria"/>
          <w:i/>
          <w:sz w:val="34"/>
          <w:vertAlign w:val="subscript"/>
        </w:rPr>
        <w:t xml:space="preserve">W </w:t>
      </w:r>
      <w:r>
        <w:t xml:space="preserve">grows regardless of real productive activity: </w:t>
      </w:r>
      <w:proofErr w:type="spellStart"/>
      <w:r>
        <w:rPr>
          <w:rFonts w:ascii="Cambria" w:eastAsia="Cambria" w:hAnsi="Cambria" w:cs="Cambria"/>
          <w:i/>
          <w:u w:val="single" w:color="000000"/>
          <w:vertAlign w:val="superscript"/>
        </w:rPr>
        <w:t>dW</w:t>
      </w:r>
      <w:r>
        <w:rPr>
          <w:rFonts w:ascii="Cambria" w:eastAsia="Cambria" w:hAnsi="Cambria" w:cs="Cambria"/>
          <w:i/>
          <w:vertAlign w:val="subscript"/>
        </w:rPr>
        <w:t>dt</w:t>
      </w:r>
      <w:proofErr w:type="spellEnd"/>
      <w:r>
        <w:rPr>
          <w:rFonts w:ascii="Cambria" w:eastAsia="Cambria" w:hAnsi="Cambria" w:cs="Cambria"/>
          <w:i/>
          <w:vertAlign w:val="subscript"/>
        </w:rPr>
        <w:t xml:space="preserve"> </w:t>
      </w:r>
      <w:r>
        <w:rPr>
          <w:rFonts w:ascii="Cambria" w:eastAsia="Cambria" w:hAnsi="Cambria" w:cs="Cambria"/>
        </w:rPr>
        <w:t xml:space="preserve">= </w:t>
      </w:r>
      <w:proofErr w:type="spellStart"/>
      <w:r>
        <w:rPr>
          <w:rFonts w:ascii="Cambria" w:eastAsia="Cambria" w:hAnsi="Cambria" w:cs="Cambria"/>
          <w:i/>
          <w:sz w:val="34"/>
          <w:vertAlign w:val="subscript"/>
        </w:rPr>
        <w:t>ρ</w:t>
      </w:r>
      <w:proofErr w:type="gramStart"/>
      <w:r>
        <w:rPr>
          <w:rFonts w:ascii="Cambria" w:eastAsia="Cambria" w:hAnsi="Cambria" w:cs="Cambria"/>
          <w:i/>
          <w:sz w:val="34"/>
          <w:vertAlign w:val="subscript"/>
        </w:rPr>
        <w:t>W</w:t>
      </w:r>
      <w:proofErr w:type="spellEnd"/>
      <w:r>
        <w:rPr>
          <w:rFonts w:ascii="Cambria" w:eastAsia="Cambria" w:hAnsi="Cambria" w:cs="Cambria"/>
          <w:i/>
          <w:sz w:val="34"/>
          <w:vertAlign w:val="subscript"/>
        </w:rPr>
        <w:t xml:space="preserve"> </w:t>
      </w:r>
      <w:r>
        <w:t>.</w:t>
      </w:r>
      <w:proofErr w:type="gramEnd"/>
      <w:r>
        <w:t xml:space="preserve"> This compounding effect inherently concentrates economic power.</w:t>
      </w:r>
    </w:p>
    <w:p w14:paraId="590C9B0A" w14:textId="77777777" w:rsidR="008D6FC3" w:rsidRDefault="00000000">
      <w:pPr>
        <w:numPr>
          <w:ilvl w:val="0"/>
          <w:numId w:val="2"/>
        </w:numPr>
        <w:spacing w:after="382"/>
        <w:ind w:right="279" w:hanging="292"/>
      </w:pPr>
      <w:r>
        <w:rPr>
          <w:b/>
        </w:rPr>
        <w:t xml:space="preserve">The Growth Imperative: </w:t>
      </w:r>
      <w:r>
        <w:t>As established, the interest burden forces continuous, unsustainable growth and prevents deleveraging, leading to inevitable financial crises.</w:t>
      </w:r>
    </w:p>
    <w:p w14:paraId="53A4AD7E" w14:textId="77777777" w:rsidR="008D6FC3" w:rsidRDefault="00000000">
      <w:pPr>
        <w:pStyle w:val="Heading2"/>
        <w:ind w:left="566" w:hanging="581"/>
      </w:pPr>
      <w:r>
        <w:t>The Profit-and-Loss Sharing (PLS) Model</w:t>
      </w:r>
    </w:p>
    <w:p w14:paraId="6FA092F6" w14:textId="2A83DBB7" w:rsidR="008D6FC3" w:rsidRDefault="00000000">
      <w:pPr>
        <w:ind w:left="-5" w:right="279"/>
      </w:pPr>
      <w:r>
        <w:t xml:space="preserve">The interest-free mandate necessitates the replacement of debt-financing with </w:t>
      </w:r>
      <w:r>
        <w:rPr>
          <w:b/>
        </w:rPr>
        <w:t>equity-based and</w:t>
      </w:r>
      <w:r w:rsidR="00A16A54">
        <w:rPr>
          <w:b/>
        </w:rPr>
        <w:t xml:space="preserve"> </w:t>
      </w:r>
      <w:r>
        <w:rPr>
          <w:b/>
        </w:rPr>
        <w:t>partnership</w:t>
      </w:r>
      <w:r w:rsidR="00A16A54">
        <w:rPr>
          <w:b/>
        </w:rPr>
        <w:t xml:space="preserve"> </w:t>
      </w:r>
      <w:r>
        <w:rPr>
          <w:b/>
        </w:rPr>
        <w:t>contracts</w:t>
      </w:r>
      <w:r>
        <w:t xml:space="preserve">, primarily </w:t>
      </w:r>
      <w:r>
        <w:rPr>
          <w:b/>
        </w:rPr>
        <w:t xml:space="preserve">Mudarabah </w:t>
      </w:r>
      <w:r>
        <w:t xml:space="preserve">(trusteeship finance) and </w:t>
      </w:r>
      <w:proofErr w:type="spellStart"/>
      <w:r>
        <w:rPr>
          <w:b/>
        </w:rPr>
        <w:t>Musharakah</w:t>
      </w:r>
      <w:proofErr w:type="spellEnd"/>
      <w:r>
        <w:rPr>
          <w:b/>
        </w:rPr>
        <w:t xml:space="preserve"> </w:t>
      </w:r>
      <w:r>
        <w:t>(joint venture).</w:t>
      </w:r>
    </w:p>
    <w:p w14:paraId="7E32DF8C" w14:textId="77777777" w:rsidR="008D6FC3" w:rsidRDefault="00000000">
      <w:pPr>
        <w:spacing w:after="486"/>
        <w:ind w:left="-5" w:right="0"/>
      </w:pPr>
      <w:r>
        <w:t xml:space="preserve">In a PLS system, the financier (capital provider) and the entrepreneur (labor/management provider) share the risk and the return according to pre-agreed ratios. If the business fails, both parties lose; if it succeeds, both </w:t>
      </w:r>
      <w:proofErr w:type="gramStart"/>
      <w:r>
        <w:t>profit</w:t>
      </w:r>
      <w:proofErr w:type="gramEnd"/>
      <w:r>
        <w:t>. This model intrinsically links financial rewards to real economic activity, ensuring that resources are allocated to genuinely productive and sustainable ventures. This ethical model discourages speculative investment (where the goal is merely to profit from interest rate differentials or asset bubbles) and encourages long-term, tangible economic development. It replaces a relationship of exploitation (guaranteed interest) with a relationship of genuine partnership and shared fate.</w:t>
      </w:r>
    </w:p>
    <w:p w14:paraId="00B70B8E" w14:textId="77777777" w:rsidR="008D6FC3" w:rsidRDefault="00000000">
      <w:pPr>
        <w:pStyle w:val="Heading1"/>
        <w:ind w:left="436" w:hanging="451"/>
      </w:pPr>
      <w:r>
        <w:t>Eliminating the Triple Threat: A New Monetary Order</w:t>
      </w:r>
    </w:p>
    <w:p w14:paraId="0942E649" w14:textId="77777777" w:rsidR="008D6FC3" w:rsidRDefault="00000000">
      <w:pPr>
        <w:spacing w:after="382"/>
        <w:ind w:left="-5" w:right="279"/>
      </w:pPr>
      <w:r>
        <w:t>The comprehensive FRIF system provides the necessary mechanisms to structurally resolve the three chronic problems of debt, deficits, and inflation.</w:t>
      </w:r>
    </w:p>
    <w:p w14:paraId="66892BA0" w14:textId="77777777" w:rsidR="008D6FC3" w:rsidRDefault="00000000">
      <w:pPr>
        <w:pStyle w:val="Heading2"/>
        <w:ind w:left="566" w:hanging="581"/>
      </w:pPr>
      <w:r>
        <w:lastRenderedPageBreak/>
        <w:t>Eliminating Government Debt and Structural Deficits</w:t>
      </w:r>
    </w:p>
    <w:p w14:paraId="375B8BCE" w14:textId="77777777" w:rsidR="008D6FC3" w:rsidRDefault="00000000">
      <w:pPr>
        <w:ind w:left="-5" w:right="279"/>
      </w:pPr>
      <w:r>
        <w:t>In the FRIF system, the need for Treasury bonds as the primary financing tool is largely eradicated.</w:t>
      </w:r>
    </w:p>
    <w:p w14:paraId="4E0F2491" w14:textId="77777777" w:rsidR="008D6FC3" w:rsidRDefault="00000000">
      <w:pPr>
        <w:numPr>
          <w:ilvl w:val="0"/>
          <w:numId w:val="3"/>
        </w:numPr>
        <w:ind w:right="279" w:hanging="292"/>
      </w:pPr>
      <w:r>
        <w:rPr>
          <w:b/>
        </w:rPr>
        <w:t xml:space="preserve">Debt-Free Seigniorage: </w:t>
      </w:r>
      <w:r>
        <w:t>The government funds its necessary budget gaps through the controlled, non-inflationary issuance of sovereign money by the central authority. This revenue stream replaces interest-bearing debt, immediately eliminating the multi-</w:t>
      </w:r>
      <w:proofErr w:type="gramStart"/>
      <w:r>
        <w:t>billion dollar</w:t>
      </w:r>
      <w:proofErr w:type="gramEnd"/>
      <w:r>
        <w:t xml:space="preserve"> interest service payments that form the largest component of structural budget deficits.</w:t>
      </w:r>
    </w:p>
    <w:p w14:paraId="35FABA80" w14:textId="77777777" w:rsidR="008D6FC3" w:rsidRDefault="00000000">
      <w:pPr>
        <w:numPr>
          <w:ilvl w:val="0"/>
          <w:numId w:val="3"/>
        </w:numPr>
        <w:ind w:right="279" w:hanging="292"/>
      </w:pPr>
      <w:r>
        <w:rPr>
          <w:b/>
        </w:rPr>
        <w:t xml:space="preserve">Monetary Policy Tool: </w:t>
      </w:r>
      <w:r>
        <w:t xml:space="preserve">The need for debt instruments to conduct monetary policy also disappears. Instead of buying and selling bonds (Open Market Operations) to control the money supply, the central authority directly controls the </w:t>
      </w:r>
      <w:r>
        <w:rPr>
          <w:b/>
        </w:rPr>
        <w:t xml:space="preserve">quantity of money </w:t>
      </w:r>
      <w:r>
        <w:t>released into the economy, making monetary policy transparent and predictable.</w:t>
      </w:r>
    </w:p>
    <w:p w14:paraId="6ED18296" w14:textId="77777777" w:rsidR="008D6FC3" w:rsidRDefault="00000000">
      <w:pPr>
        <w:spacing w:after="382"/>
        <w:ind w:left="-5" w:right="279"/>
      </w:pPr>
      <w:r>
        <w:t>The government is free from the pressure to borrow simply to sustain the existing monetary structure. Deficits become a matter of deliberate fiscal choice, funded by equity (seigniorage) rather than debt, making long-term fiscal solvency achievable.</w:t>
      </w:r>
    </w:p>
    <w:p w14:paraId="768B9645" w14:textId="77777777" w:rsidR="008D6FC3" w:rsidRDefault="00000000">
      <w:pPr>
        <w:pStyle w:val="Heading2"/>
        <w:ind w:left="566" w:hanging="581"/>
      </w:pPr>
      <w:r>
        <w:t>Controlling Inflation and Ensuring Price Stability</w:t>
      </w:r>
    </w:p>
    <w:p w14:paraId="6410D6EA" w14:textId="77777777" w:rsidR="008D6FC3" w:rsidRDefault="00000000">
      <w:pPr>
        <w:ind w:left="-5" w:right="279"/>
      </w:pPr>
      <w:r>
        <w:t xml:space="preserve">Under full reserve, the central authority has </w:t>
      </w:r>
      <w:proofErr w:type="gramStart"/>
      <w:r>
        <w:t>complete</w:t>
      </w:r>
      <w:proofErr w:type="gramEnd"/>
      <w:r>
        <w:t xml:space="preserve"> and precise control over the high-powered money supply. Inflationary control shifts from the indirect and slow-acting lever of the interest rate to the direct and immediate control of the money quantity.</w:t>
      </w:r>
    </w:p>
    <w:p w14:paraId="7511C6F7" w14:textId="77777777" w:rsidR="008D6FC3" w:rsidRDefault="00000000">
      <w:pPr>
        <w:spacing w:after="403"/>
        <w:ind w:left="-5" w:right="279"/>
      </w:pPr>
      <w:r>
        <w:t>The Central Authority can adhere to a transparent monetary rule, such as increasing the money supply at a fixed, low rate commensurate with the long-term potential growth rate of the real economy (GDP).</w:t>
      </w:r>
    </w:p>
    <w:p w14:paraId="460AEA84" w14:textId="77777777" w:rsidR="008D6FC3" w:rsidRDefault="00000000">
      <w:pPr>
        <w:spacing w:after="216" w:line="259" w:lineRule="auto"/>
        <w:ind w:left="0" w:firstLine="0"/>
        <w:jc w:val="center"/>
      </w:pPr>
      <w:r>
        <w:t xml:space="preserve">Money Supply Growth Rate </w:t>
      </w:r>
      <w:r>
        <w:rPr>
          <w:rFonts w:ascii="Cambria" w:eastAsia="Cambria" w:hAnsi="Cambria" w:cs="Cambria"/>
        </w:rPr>
        <w:t xml:space="preserve">≈ </w:t>
      </w:r>
      <w:r>
        <w:t>Real GDP Growth Rate</w:t>
      </w:r>
    </w:p>
    <w:p w14:paraId="2BD39C4D" w14:textId="77777777" w:rsidR="008D6FC3" w:rsidRDefault="00000000">
      <w:pPr>
        <w:spacing w:after="491"/>
        <w:ind w:left="-5" w:right="279"/>
      </w:pPr>
      <w:r>
        <w:t>This approach ensures that the money supply remains in equilibrium with the supply of goods and services, preventing the speculative, credit-driven surges that cause runaway inflation. Furthermore, the inherent stability of the 100% reserve transaction accounts shields the payment system from the crises that plague the credit sector, promoting public confidence and predictability in prices.</w:t>
      </w:r>
    </w:p>
    <w:p w14:paraId="70200159" w14:textId="77777777" w:rsidR="008D6FC3" w:rsidRDefault="00000000">
      <w:pPr>
        <w:pStyle w:val="Heading1"/>
        <w:numPr>
          <w:ilvl w:val="0"/>
          <w:numId w:val="0"/>
        </w:numPr>
        <w:ind w:left="-5"/>
      </w:pPr>
      <w:r>
        <w:t>Conclusion</w:t>
      </w:r>
    </w:p>
    <w:p w14:paraId="16E0A932" w14:textId="77777777" w:rsidR="008D6FC3" w:rsidRDefault="00000000">
      <w:pPr>
        <w:ind w:left="-5" w:right="279"/>
      </w:pPr>
      <w:r>
        <w:t>The pursuit of financial stability and economic justice requires the courage to challenge the foundational assumptions of the current fractional reserve, interest-based banking model. This model has served as the engine of modern instability, structurally necessitating perpetual debt, enabling chronic deficits, and unleashing inflationary cycles that punish the poor and reward speculative finance.</w:t>
      </w:r>
    </w:p>
    <w:p w14:paraId="43C7B25D" w14:textId="77777777" w:rsidR="008D6FC3" w:rsidRDefault="00000000">
      <w:pPr>
        <w:ind w:left="-5" w:right="279"/>
      </w:pPr>
      <w:r>
        <w:t xml:space="preserve">The transition to a </w:t>
      </w:r>
      <w:r>
        <w:rPr>
          <w:b/>
        </w:rPr>
        <w:t xml:space="preserve">full-reserve, interest-free (FRIF) system </w:t>
      </w:r>
      <w:r>
        <w:t xml:space="preserve">offers a robust, logical, and ethically grounded alternative. By separating money creation from private lending, centralizing the power of issuance into a debt-free sovereign authority, and replacing risk-distorting interest with equity-based partnerships, this reform promises profound stability. It eliminates the structural need for government debt by replacing interest payments with seigniorage </w:t>
      </w:r>
      <w:r>
        <w:lastRenderedPageBreak/>
        <w:t>revenue, allows for the non-inflationary control of the money supply, and redirects capital toward real, productive economic growth, fulfilling the promise of justice, welfare, and prosperity for all. Such a fundamental systemic redesign is essential if we are to escape the boom-and-bust cycle that has characterized the modern era.</w:t>
      </w:r>
    </w:p>
    <w:sectPr w:rsidR="008D6FC3">
      <w:footerReference w:type="even" r:id="rId8"/>
      <w:footerReference w:type="default" r:id="rId9"/>
      <w:footerReference w:type="first" r:id="rId10"/>
      <w:pgSz w:w="11906" w:h="16838"/>
      <w:pgMar w:top="1330" w:right="840" w:bottom="1573" w:left="1134" w:header="72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A466" w14:textId="77777777" w:rsidR="00987360" w:rsidRDefault="00987360">
      <w:pPr>
        <w:spacing w:after="0" w:line="240" w:lineRule="auto"/>
      </w:pPr>
      <w:r>
        <w:separator/>
      </w:r>
    </w:p>
  </w:endnote>
  <w:endnote w:type="continuationSeparator" w:id="0">
    <w:p w14:paraId="2AFDBE47" w14:textId="77777777" w:rsidR="00987360" w:rsidRDefault="00987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B5AE" w14:textId="77777777" w:rsidR="008D6FC3"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DF46" w14:textId="77777777" w:rsidR="008D6FC3"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E3FE" w14:textId="77777777" w:rsidR="008D6FC3"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DE46" w14:textId="77777777" w:rsidR="00987360" w:rsidRDefault="00987360">
      <w:pPr>
        <w:spacing w:after="0" w:line="240" w:lineRule="auto"/>
      </w:pPr>
      <w:r>
        <w:separator/>
      </w:r>
    </w:p>
  </w:footnote>
  <w:footnote w:type="continuationSeparator" w:id="0">
    <w:p w14:paraId="312C5A29" w14:textId="77777777" w:rsidR="00987360" w:rsidRDefault="00987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12FAA"/>
    <w:multiLevelType w:val="multilevel"/>
    <w:tmpl w:val="73ACE6EC"/>
    <w:lvl w:ilvl="0">
      <w:start w:val="1"/>
      <w:numFmt w:val="decimal"/>
      <w:pStyle w:val="Heading1"/>
      <w:lvlText w:val="%1"/>
      <w:lvlJc w:val="left"/>
      <w:pPr>
        <w:ind w:left="0"/>
      </w:pPr>
      <w:rPr>
        <w:rFonts w:ascii="Noto Sans" w:eastAsia="Noto Sans" w:hAnsi="Noto Sans" w:cs="Noto Sans"/>
        <w:b/>
        <w:bCs/>
        <w:i w:val="0"/>
        <w:strike w:val="0"/>
        <w:dstrike w:val="0"/>
        <w:color w:val="000000"/>
        <w:sz w:val="29"/>
        <w:szCs w:val="29"/>
        <w:u w:val="none" w:color="000000"/>
        <w:bdr w:val="none" w:sz="0" w:space="0" w:color="auto"/>
        <w:shd w:val="clear" w:color="auto" w:fill="auto"/>
        <w:vertAlign w:val="baseline"/>
      </w:rPr>
    </w:lvl>
    <w:lvl w:ilvl="1">
      <w:start w:val="1"/>
      <w:numFmt w:val="decimal"/>
      <w:pStyle w:val="Heading2"/>
      <w:lvlText w:val="%1.%2"/>
      <w:lvlJc w:val="left"/>
      <w:pPr>
        <w:ind w:left="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Noto Sans" w:eastAsia="Noto Sans" w:hAnsi="Noto Sans" w:cs="Noto Sans"/>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2E245D3"/>
    <w:multiLevelType w:val="hybridMultilevel"/>
    <w:tmpl w:val="92B48162"/>
    <w:lvl w:ilvl="0" w:tplc="10AC194C">
      <w:start w:val="1"/>
      <w:numFmt w:val="decimal"/>
      <w:lvlText w:val="%1."/>
      <w:lvlJc w:val="left"/>
      <w:pPr>
        <w:ind w:left="545"/>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1" w:tplc="EE4C66BC">
      <w:start w:val="1"/>
      <w:numFmt w:val="lowerLetter"/>
      <w:lvlText w:val="%2"/>
      <w:lvlJc w:val="left"/>
      <w:pPr>
        <w:ind w:left="13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2" w:tplc="B5C4C4D4">
      <w:start w:val="1"/>
      <w:numFmt w:val="lowerRoman"/>
      <w:lvlText w:val="%3"/>
      <w:lvlJc w:val="left"/>
      <w:pPr>
        <w:ind w:left="20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3" w:tplc="B672CC4E">
      <w:start w:val="1"/>
      <w:numFmt w:val="decimal"/>
      <w:lvlText w:val="%4"/>
      <w:lvlJc w:val="left"/>
      <w:pPr>
        <w:ind w:left="27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4" w:tplc="5E787ABC">
      <w:start w:val="1"/>
      <w:numFmt w:val="lowerLetter"/>
      <w:lvlText w:val="%5"/>
      <w:lvlJc w:val="left"/>
      <w:pPr>
        <w:ind w:left="349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5" w:tplc="F594F91E">
      <w:start w:val="1"/>
      <w:numFmt w:val="lowerRoman"/>
      <w:lvlText w:val="%6"/>
      <w:lvlJc w:val="left"/>
      <w:pPr>
        <w:ind w:left="421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6" w:tplc="8DA47680">
      <w:start w:val="1"/>
      <w:numFmt w:val="decimal"/>
      <w:lvlText w:val="%7"/>
      <w:lvlJc w:val="left"/>
      <w:pPr>
        <w:ind w:left="49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7" w:tplc="9BDA67E0">
      <w:start w:val="1"/>
      <w:numFmt w:val="lowerLetter"/>
      <w:lvlText w:val="%8"/>
      <w:lvlJc w:val="left"/>
      <w:pPr>
        <w:ind w:left="56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8" w:tplc="8FD6B05E">
      <w:start w:val="1"/>
      <w:numFmt w:val="lowerRoman"/>
      <w:lvlText w:val="%9"/>
      <w:lvlJc w:val="left"/>
      <w:pPr>
        <w:ind w:left="63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C9F77A1"/>
    <w:multiLevelType w:val="hybridMultilevel"/>
    <w:tmpl w:val="489AC93A"/>
    <w:lvl w:ilvl="0" w:tplc="5E9855BA">
      <w:start w:val="1"/>
      <w:numFmt w:val="decimal"/>
      <w:lvlText w:val="%1."/>
      <w:lvlJc w:val="left"/>
      <w:pPr>
        <w:ind w:left="545"/>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1" w:tplc="50EC00BA">
      <w:start w:val="1"/>
      <w:numFmt w:val="lowerLetter"/>
      <w:lvlText w:val="%2"/>
      <w:lvlJc w:val="left"/>
      <w:pPr>
        <w:ind w:left="13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2" w:tplc="250A5B1E">
      <w:start w:val="1"/>
      <w:numFmt w:val="lowerRoman"/>
      <w:lvlText w:val="%3"/>
      <w:lvlJc w:val="left"/>
      <w:pPr>
        <w:ind w:left="20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3" w:tplc="EC669818">
      <w:start w:val="1"/>
      <w:numFmt w:val="decimal"/>
      <w:lvlText w:val="%4"/>
      <w:lvlJc w:val="left"/>
      <w:pPr>
        <w:ind w:left="27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4" w:tplc="7E3C6254">
      <w:start w:val="1"/>
      <w:numFmt w:val="lowerLetter"/>
      <w:lvlText w:val="%5"/>
      <w:lvlJc w:val="left"/>
      <w:pPr>
        <w:ind w:left="349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5" w:tplc="873C952C">
      <w:start w:val="1"/>
      <w:numFmt w:val="lowerRoman"/>
      <w:lvlText w:val="%6"/>
      <w:lvlJc w:val="left"/>
      <w:pPr>
        <w:ind w:left="421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6" w:tplc="59D809CA">
      <w:start w:val="1"/>
      <w:numFmt w:val="decimal"/>
      <w:lvlText w:val="%7"/>
      <w:lvlJc w:val="left"/>
      <w:pPr>
        <w:ind w:left="49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7" w:tplc="F34427D6">
      <w:start w:val="1"/>
      <w:numFmt w:val="lowerLetter"/>
      <w:lvlText w:val="%8"/>
      <w:lvlJc w:val="left"/>
      <w:pPr>
        <w:ind w:left="56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8" w:tplc="CAEA1918">
      <w:start w:val="1"/>
      <w:numFmt w:val="lowerRoman"/>
      <w:lvlText w:val="%9"/>
      <w:lvlJc w:val="left"/>
      <w:pPr>
        <w:ind w:left="63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E16654D"/>
    <w:multiLevelType w:val="hybridMultilevel"/>
    <w:tmpl w:val="0094AAFA"/>
    <w:lvl w:ilvl="0" w:tplc="CE5668B6">
      <w:start w:val="1"/>
      <w:numFmt w:val="decimal"/>
      <w:lvlText w:val="%1."/>
      <w:lvlJc w:val="left"/>
      <w:pPr>
        <w:ind w:left="545"/>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1" w:tplc="72DCEC82">
      <w:start w:val="1"/>
      <w:numFmt w:val="lowerLetter"/>
      <w:lvlText w:val="%2"/>
      <w:lvlJc w:val="left"/>
      <w:pPr>
        <w:ind w:left="13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2" w:tplc="E1F2B982">
      <w:start w:val="1"/>
      <w:numFmt w:val="lowerRoman"/>
      <w:lvlText w:val="%3"/>
      <w:lvlJc w:val="left"/>
      <w:pPr>
        <w:ind w:left="20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3" w:tplc="590EEF8E">
      <w:start w:val="1"/>
      <w:numFmt w:val="decimal"/>
      <w:lvlText w:val="%4"/>
      <w:lvlJc w:val="left"/>
      <w:pPr>
        <w:ind w:left="27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4" w:tplc="BE181604">
      <w:start w:val="1"/>
      <w:numFmt w:val="lowerLetter"/>
      <w:lvlText w:val="%5"/>
      <w:lvlJc w:val="left"/>
      <w:pPr>
        <w:ind w:left="349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5" w:tplc="0B8C6C5C">
      <w:start w:val="1"/>
      <w:numFmt w:val="lowerRoman"/>
      <w:lvlText w:val="%6"/>
      <w:lvlJc w:val="left"/>
      <w:pPr>
        <w:ind w:left="421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6" w:tplc="9064BE90">
      <w:start w:val="1"/>
      <w:numFmt w:val="decimal"/>
      <w:lvlText w:val="%7"/>
      <w:lvlJc w:val="left"/>
      <w:pPr>
        <w:ind w:left="493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7" w:tplc="287A5E52">
      <w:start w:val="1"/>
      <w:numFmt w:val="lowerLetter"/>
      <w:lvlText w:val="%8"/>
      <w:lvlJc w:val="left"/>
      <w:pPr>
        <w:ind w:left="565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lvl w:ilvl="8" w:tplc="0CCAF43A">
      <w:start w:val="1"/>
      <w:numFmt w:val="lowerRoman"/>
      <w:lvlText w:val="%9"/>
      <w:lvlJc w:val="left"/>
      <w:pPr>
        <w:ind w:left="6373"/>
      </w:pPr>
      <w:rPr>
        <w:rFonts w:ascii="Noto Sans" w:eastAsia="Noto Sans" w:hAnsi="Noto Sans" w:cs="Noto Sans"/>
        <w:b w:val="0"/>
        <w:i w:val="0"/>
        <w:strike w:val="0"/>
        <w:dstrike w:val="0"/>
        <w:color w:val="000000"/>
        <w:sz w:val="22"/>
        <w:szCs w:val="22"/>
        <w:u w:val="none" w:color="000000"/>
        <w:bdr w:val="none" w:sz="0" w:space="0" w:color="auto"/>
        <w:shd w:val="clear" w:color="auto" w:fill="auto"/>
        <w:vertAlign w:val="baseline"/>
      </w:rPr>
    </w:lvl>
  </w:abstractNum>
  <w:num w:numId="1" w16cid:durableId="108359206">
    <w:abstractNumId w:val="1"/>
  </w:num>
  <w:num w:numId="2" w16cid:durableId="65613171">
    <w:abstractNumId w:val="3"/>
  </w:num>
  <w:num w:numId="3" w16cid:durableId="1858540295">
    <w:abstractNumId w:val="2"/>
  </w:num>
  <w:num w:numId="4" w16cid:durableId="52363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FC3"/>
    <w:rsid w:val="007C7B92"/>
    <w:rsid w:val="008D6FC3"/>
    <w:rsid w:val="00987360"/>
    <w:rsid w:val="00A1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BB3AD"/>
  <w15:docId w15:val="{D777AF15-99C9-4C64-8F50-66E2BCDA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0" w:line="225" w:lineRule="auto"/>
      <w:ind w:left="10" w:right="294" w:hanging="10"/>
      <w:jc w:val="both"/>
    </w:pPr>
    <w:rPr>
      <w:rFonts w:ascii="Noto Sans" w:eastAsia="Noto Sans" w:hAnsi="Noto Sans" w:cs="Noto Sans"/>
      <w:color w:val="000000"/>
      <w:sz w:val="22"/>
    </w:rPr>
  </w:style>
  <w:style w:type="paragraph" w:styleId="Heading1">
    <w:name w:val="heading 1"/>
    <w:next w:val="Normal"/>
    <w:link w:val="Heading1Char"/>
    <w:uiPriority w:val="9"/>
    <w:qFormat/>
    <w:pPr>
      <w:keepNext/>
      <w:keepLines/>
      <w:numPr>
        <w:numId w:val="4"/>
      </w:numPr>
      <w:spacing w:after="118" w:line="259" w:lineRule="auto"/>
      <w:ind w:left="10" w:hanging="10"/>
      <w:outlineLvl w:val="0"/>
    </w:pPr>
    <w:rPr>
      <w:rFonts w:ascii="Noto Sans" w:eastAsia="Noto Sans" w:hAnsi="Noto Sans" w:cs="Noto Sans"/>
      <w:b/>
      <w:color w:val="000000"/>
      <w:sz w:val="29"/>
    </w:rPr>
  </w:style>
  <w:style w:type="paragraph" w:styleId="Heading2">
    <w:name w:val="heading 2"/>
    <w:next w:val="Normal"/>
    <w:link w:val="Heading2Char"/>
    <w:uiPriority w:val="9"/>
    <w:unhideWhenUsed/>
    <w:qFormat/>
    <w:pPr>
      <w:keepNext/>
      <w:keepLines/>
      <w:numPr>
        <w:ilvl w:val="1"/>
        <w:numId w:val="4"/>
      </w:numPr>
      <w:spacing w:after="95" w:line="259" w:lineRule="auto"/>
      <w:ind w:left="10" w:hanging="10"/>
      <w:outlineLvl w:val="1"/>
    </w:pPr>
    <w:rPr>
      <w:rFonts w:ascii="Noto Sans" w:eastAsia="Noto Sans" w:hAnsi="Noto Sans" w:cs="Noto San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Noto Sans" w:eastAsia="Noto Sans" w:hAnsi="Noto Sans" w:cs="Noto Sans"/>
      <w:b/>
      <w:color w:val="000000"/>
      <w:sz w:val="24"/>
    </w:rPr>
  </w:style>
  <w:style w:type="character" w:customStyle="1" w:styleId="Heading1Char">
    <w:name w:val="Heading 1 Char"/>
    <w:link w:val="Heading1"/>
    <w:rPr>
      <w:rFonts w:ascii="Noto Sans" w:eastAsia="Noto Sans" w:hAnsi="Noto Sans" w:cs="Noto Sans"/>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2207</Words>
  <Characters>12580</Characters>
  <Application>Microsoft Office Word</Application>
  <DocSecurity>0</DocSecurity>
  <Lines>104</Lines>
  <Paragraphs>29</Paragraphs>
  <ScaleCrop>false</ScaleCrop>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 COMPUTERS</dc:creator>
  <cp:keywords/>
  <cp:lastModifiedBy>MOON COMPUTERS</cp:lastModifiedBy>
  <cp:revision>3</cp:revision>
  <dcterms:created xsi:type="dcterms:W3CDTF">2025-10-25T06:51:00Z</dcterms:created>
  <dcterms:modified xsi:type="dcterms:W3CDTF">2025-10-25T06:51:00Z</dcterms:modified>
</cp:coreProperties>
</file>